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25" w:lineRule="exact" w:before="0"/>
        <w:ind w:left="100"/>
        <w:rPr>
          <w:rFonts w:ascii="Times New Roman"/>
          <w:sz w:val="12"/>
        </w:rPr>
      </w:pPr>
      <w:r>
        <w:rPr>
          <w:rFonts w:ascii="Times New Roman"/>
          <w:position w:val="-2"/>
          <w:sz w:val="12"/>
        </w:rPr>
        <mc:AlternateContent>
          <mc:Choice Requires="wps">
            <w:drawing>
              <wp:inline distT="0" distB="0" distL="0" distR="0">
                <wp:extent cx="13117194" cy="79375"/>
                <wp:effectExtent l="19050" t="0" r="8255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3117194" cy="79375"/>
                          <a:chExt cx="13117194" cy="793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2870"/>
                            <a:ext cx="131171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7194" h="0">
                                <a:moveTo>
                                  <a:pt x="0" y="0"/>
                                </a:moveTo>
                                <a:lnTo>
                                  <a:pt x="13116766" y="0"/>
                                </a:lnTo>
                              </a:path>
                            </a:pathLst>
                          </a:custGeom>
                          <a:ln w="12140">
                            <a:solidFill>
                              <a:srgbClr val="0066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140"/>
                            <a:ext cx="131171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7194" h="0">
                                <a:moveTo>
                                  <a:pt x="0" y="0"/>
                                </a:moveTo>
                                <a:lnTo>
                                  <a:pt x="13116766" y="0"/>
                                </a:lnTo>
                              </a:path>
                            </a:pathLst>
                          </a:custGeom>
                          <a:ln w="24280">
                            <a:solidFill>
                              <a:srgbClr val="F3901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32.8500pt;height:6.25pt;mso-position-horizontal-relative:char;mso-position-vertical-relative:line" id="docshapegroup1" coordorigin="0,0" coordsize="20657,125">
                <v:line style="position:absolute" from="0,115" to="20656,115" stroked="true" strokeweight=".955918pt" strokecolor="#00669a">
                  <v:stroke dashstyle="solid"/>
                </v:line>
                <v:line style="position:absolute" from="0,19" to="20656,19" stroked="true" strokeweight="1.911836pt" strokecolor="#f3901d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position w:val="-2"/>
          <w:sz w:val="12"/>
        </w:rPr>
      </w:r>
    </w:p>
    <w:p>
      <w:pPr>
        <w:pStyle w:val="Title"/>
        <w:spacing w:line="213" w:lineRule="auto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522361</wp:posOffset>
            </wp:positionH>
            <wp:positionV relativeFrom="paragraph">
              <wp:posOffset>931926</wp:posOffset>
            </wp:positionV>
            <wp:extent cx="962469" cy="119015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69" cy="119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12225132</wp:posOffset>
            </wp:positionH>
            <wp:positionV relativeFrom="paragraph">
              <wp:posOffset>957588</wp:posOffset>
            </wp:positionV>
            <wp:extent cx="551964" cy="74889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964" cy="7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69A"/>
          <w:w w:val="90"/>
        </w:rPr>
        <w:t>Multiple Dimensions of Balance are Adversely Affected </w:t>
      </w:r>
      <w:r>
        <w:rPr>
          <w:color w:val="00669A"/>
          <w:w w:val="90"/>
        </w:rPr>
        <w:t>in</w:t>
      </w:r>
      <w:r>
        <w:rPr>
          <w:color w:val="00669A"/>
          <w:spacing w:val="40"/>
        </w:rPr>
        <w:t> </w:t>
      </w:r>
      <w:r>
        <w:rPr>
          <w:color w:val="00669A"/>
          <w:spacing w:val="-12"/>
        </w:rPr>
        <w:t>Older</w:t>
      </w:r>
      <w:r>
        <w:rPr>
          <w:color w:val="00669A"/>
          <w:spacing w:val="-61"/>
        </w:rPr>
        <w:t> </w:t>
      </w:r>
      <w:r>
        <w:rPr>
          <w:color w:val="00669A"/>
          <w:spacing w:val="-12"/>
        </w:rPr>
        <w:t>Adults</w:t>
      </w:r>
      <w:r>
        <w:rPr>
          <w:color w:val="00669A"/>
          <w:spacing w:val="-61"/>
        </w:rPr>
        <w:t> </w:t>
      </w:r>
      <w:r>
        <w:rPr>
          <w:color w:val="00669A"/>
          <w:spacing w:val="-12"/>
        </w:rPr>
        <w:t>with</w:t>
      </w:r>
      <w:r>
        <w:rPr>
          <w:color w:val="00669A"/>
          <w:spacing w:val="-61"/>
        </w:rPr>
        <w:t> </w:t>
      </w:r>
      <w:r>
        <w:rPr>
          <w:color w:val="00669A"/>
          <w:spacing w:val="-12"/>
        </w:rPr>
        <w:t>Fibromyalgia</w:t>
      </w:r>
    </w:p>
    <w:p>
      <w:pPr>
        <w:spacing w:line="247" w:lineRule="auto" w:before="215"/>
        <w:ind w:left="4869" w:right="1984" w:hanging="2418"/>
        <w:jc w:val="left"/>
        <w:rPr>
          <w:sz w:val="44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11739885</wp:posOffset>
            </wp:positionH>
            <wp:positionV relativeFrom="paragraph">
              <wp:posOffset>715361</wp:posOffset>
            </wp:positionV>
            <wp:extent cx="1517908" cy="18649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8" cy="186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11541097</wp:posOffset>
            </wp:positionH>
            <wp:positionV relativeFrom="paragraph">
              <wp:posOffset>557680</wp:posOffset>
            </wp:positionV>
            <wp:extent cx="1931935" cy="8659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935" cy="8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  <w:w w:val="90"/>
          <w:sz w:val="44"/>
        </w:rPr>
        <w:t>Danielle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Hernandez,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Debra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J.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Rose,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Camila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Guimaraes,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Dana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Rutledge,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&amp;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Jessie</w:t>
      </w:r>
      <w:r>
        <w:rPr>
          <w:color w:val="231F20"/>
          <w:spacing w:val="-36"/>
          <w:w w:val="90"/>
          <w:sz w:val="44"/>
        </w:rPr>
        <w:t> </w:t>
      </w:r>
      <w:r>
        <w:rPr>
          <w:color w:val="231F20"/>
          <w:spacing w:val="-2"/>
          <w:w w:val="90"/>
          <w:sz w:val="44"/>
        </w:rPr>
        <w:t>Jones </w:t>
      </w:r>
      <w:r>
        <w:rPr>
          <w:color w:val="231F20"/>
          <w:w w:val="90"/>
          <w:sz w:val="44"/>
        </w:rPr>
        <w:t>California State University, Fullerton, CA.</w:t>
      </w:r>
      <w:r>
        <w:rPr>
          <w:color w:val="231F20"/>
          <w:spacing w:val="40"/>
          <w:sz w:val="44"/>
        </w:rPr>
        <w:t> </w:t>
      </w:r>
      <w:r>
        <w:rPr>
          <w:color w:val="231F20"/>
          <w:w w:val="90"/>
          <w:sz w:val="44"/>
        </w:rPr>
        <w:t>United States</w:t>
      </w:r>
    </w:p>
    <w:p>
      <w:pPr>
        <w:pStyle w:val="BodyText"/>
        <w:spacing w:before="10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1905456</wp:posOffset>
                </wp:positionH>
                <wp:positionV relativeFrom="paragraph">
                  <wp:posOffset>66723</wp:posOffset>
                </wp:positionV>
                <wp:extent cx="9431020" cy="7937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9431020" cy="79375"/>
                          <a:chExt cx="9431020" cy="793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070"/>
                            <a:ext cx="9431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1020" h="0">
                                <a:moveTo>
                                  <a:pt x="94307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40">
                            <a:solidFill>
                              <a:srgbClr val="0066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66799"/>
                            <a:ext cx="9431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1020" h="0">
                                <a:moveTo>
                                  <a:pt x="94307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280">
                            <a:solidFill>
                              <a:srgbClr val="F3901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0.03598pt;margin-top:5.253815pt;width:742.6pt;height:6.25pt;mso-position-horizontal-relative:page;mso-position-vertical-relative:paragraph;z-index:-15728128;mso-wrap-distance-left:0;mso-wrap-distance-right:0" id="docshapegroup2" coordorigin="3001,105" coordsize="14852,125">
                <v:line style="position:absolute" from="17852,115" to="3001,115" stroked="true" strokeweight=".955918pt" strokecolor="#00669a">
                  <v:stroke dashstyle="solid"/>
                </v:line>
                <v:line style="position:absolute" from="17852,210" to="3001,210" stroked="true" strokeweight="1.911836pt" strokecolor="#f3901d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66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030" w:h="31660"/>
          <w:pgMar w:top="680" w:bottom="280" w:left="560" w:right="580"/>
        </w:sectPr>
      </w:pPr>
    </w:p>
    <w:p>
      <w:pPr>
        <w:pStyle w:val="Heading1"/>
        <w:spacing w:before="96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1619140</wp:posOffset>
            </wp:positionH>
            <wp:positionV relativeFrom="page">
              <wp:posOffset>14952557</wp:posOffset>
            </wp:positionV>
            <wp:extent cx="3239902" cy="470772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02" cy="4707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69A"/>
          <w:spacing w:val="-2"/>
        </w:rPr>
        <w:t>Introduction</w:t>
      </w:r>
    </w:p>
    <w:p>
      <w:pPr>
        <w:pStyle w:val="BodyText"/>
        <w:spacing w:line="249" w:lineRule="auto"/>
        <w:ind w:left="111"/>
      </w:pPr>
      <w:r>
        <w:rPr>
          <w:color w:val="231F20"/>
          <w:spacing w:val="-6"/>
        </w:rPr>
        <w:t>Individuals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diagnosed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Fibromyalgia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(FM),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musculoskeletal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pain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disorder </w:t>
      </w:r>
      <w:r>
        <w:rPr>
          <w:color w:val="231F20"/>
          <w:spacing w:val="-4"/>
        </w:rPr>
        <w:t>that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characterized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widespread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bodily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pain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tenderness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unknown origin,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frequently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report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symptoms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imbalance,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tingling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numbness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in </w:t>
      </w:r>
      <w:r>
        <w:rPr>
          <w:color w:val="231F20"/>
          <w:spacing w:val="-8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extremities,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painful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neuropathies,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dizziness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surveyed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[1].</w:t>
      </w:r>
      <w:r>
        <w:rPr>
          <w:color w:val="231F20"/>
          <w:spacing w:val="32"/>
        </w:rPr>
        <w:t> </w:t>
      </w:r>
      <w:r>
        <w:rPr>
          <w:color w:val="231F20"/>
          <w:spacing w:val="-8"/>
        </w:rPr>
        <w:t>These </w:t>
      </w:r>
      <w:r>
        <w:rPr>
          <w:color w:val="231F20"/>
          <w:spacing w:val="-6"/>
        </w:rPr>
        <w:t>symptoms,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coupled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aging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process,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are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likely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result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higher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levels of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sedentary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behavior,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physical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de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conditioning,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heightened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risk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for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falls </w:t>
      </w:r>
      <w:r>
        <w:rPr>
          <w:color w:val="231F20"/>
          <w:spacing w:val="-4"/>
        </w:rPr>
        <w:t>due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impairments.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date,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study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attempted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identify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how these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symptoms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impact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different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dimensions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balance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mobility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in </w:t>
      </w:r>
      <w:r>
        <w:rPr>
          <w:color w:val="231F20"/>
          <w:spacing w:val="-8"/>
        </w:rPr>
        <w:t>younger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adults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[2].</w:t>
      </w:r>
      <w:r>
        <w:rPr>
          <w:color w:val="231F20"/>
          <w:spacing w:val="-40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goal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this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study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was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address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this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important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question </w:t>
      </w:r>
      <w:r>
        <w:rPr>
          <w:color w:val="231F20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</w:rPr>
        <w:t>group</w:t>
      </w:r>
      <w:r>
        <w:rPr>
          <w:color w:val="231F20"/>
          <w:spacing w:val="-24"/>
        </w:rPr>
        <w:t> </w:t>
      </w:r>
      <w:r>
        <w:rPr>
          <w:color w:val="231F20"/>
        </w:rPr>
        <w:t>of</w:t>
      </w:r>
      <w:r>
        <w:rPr>
          <w:color w:val="231F20"/>
          <w:spacing w:val="-24"/>
        </w:rPr>
        <w:t> </w:t>
      </w:r>
      <w:r>
        <w:rPr>
          <w:color w:val="231F20"/>
        </w:rPr>
        <w:t>older</w:t>
      </w:r>
      <w:r>
        <w:rPr>
          <w:color w:val="231F20"/>
          <w:spacing w:val="-24"/>
        </w:rPr>
        <w:t> </w:t>
      </w:r>
      <w:r>
        <w:rPr>
          <w:color w:val="231F20"/>
        </w:rPr>
        <w:t>adults</w:t>
      </w:r>
      <w:r>
        <w:rPr>
          <w:color w:val="231F20"/>
          <w:spacing w:val="-24"/>
        </w:rPr>
        <w:t> </w:t>
      </w:r>
      <w:r>
        <w:rPr>
          <w:color w:val="231F20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</w:rPr>
        <w:t>FM.</w:t>
      </w:r>
    </w:p>
    <w:p>
      <w:pPr>
        <w:pStyle w:val="BodyText"/>
        <w:spacing w:before="112"/>
      </w:pPr>
    </w:p>
    <w:p>
      <w:pPr>
        <w:pStyle w:val="Heading1"/>
      </w:pPr>
      <w:r>
        <w:rPr>
          <w:color w:val="00669A"/>
          <w:w w:val="90"/>
        </w:rPr>
        <w:t>The</w:t>
      </w:r>
      <w:r>
        <w:rPr>
          <w:color w:val="00669A"/>
          <w:spacing w:val="-8"/>
        </w:rPr>
        <w:t> </w:t>
      </w:r>
      <w:r>
        <w:rPr>
          <w:color w:val="00669A"/>
          <w:w w:val="90"/>
        </w:rPr>
        <w:t>Fullerton</w:t>
      </w:r>
      <w:r>
        <w:rPr>
          <w:color w:val="00669A"/>
          <w:spacing w:val="-7"/>
        </w:rPr>
        <w:t> </w:t>
      </w:r>
      <w:r>
        <w:rPr>
          <w:color w:val="00669A"/>
          <w:w w:val="90"/>
        </w:rPr>
        <w:t>Advanced</w:t>
      </w:r>
      <w:r>
        <w:rPr>
          <w:color w:val="00669A"/>
          <w:spacing w:val="-7"/>
        </w:rPr>
        <w:t> </w:t>
      </w:r>
      <w:r>
        <w:rPr>
          <w:color w:val="00669A"/>
          <w:w w:val="90"/>
        </w:rPr>
        <w:t>Balance</w:t>
      </w:r>
      <w:r>
        <w:rPr>
          <w:color w:val="00669A"/>
          <w:spacing w:val="-7"/>
        </w:rPr>
        <w:t> </w:t>
      </w:r>
      <w:r>
        <w:rPr>
          <w:color w:val="00669A"/>
          <w:w w:val="90"/>
        </w:rPr>
        <w:t>(FAB)</w:t>
      </w:r>
      <w:r>
        <w:rPr>
          <w:color w:val="00669A"/>
          <w:spacing w:val="-7"/>
        </w:rPr>
        <w:t> </w:t>
      </w:r>
      <w:r>
        <w:rPr>
          <w:color w:val="00669A"/>
          <w:spacing w:val="-2"/>
          <w:w w:val="90"/>
        </w:rPr>
        <w:t>Scale</w:t>
      </w:r>
    </w:p>
    <w:p>
      <w:pPr>
        <w:pStyle w:val="BodyText"/>
        <w:spacing w:line="249" w:lineRule="auto"/>
        <w:ind w:left="111"/>
      </w:pPr>
      <w:r>
        <w:rPr>
          <w:color w:val="231F20"/>
          <w:spacing w:val="-10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Fullerton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Advanced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Balance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(FAB)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scale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[3]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includes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10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items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assess</w:t>
      </w:r>
      <w:r>
        <w:rPr>
          <w:color w:val="231F20"/>
          <w:spacing w:val="-23"/>
        </w:rPr>
        <w:t> </w:t>
      </w:r>
      <w:r>
        <w:rPr>
          <w:color w:val="231F20"/>
          <w:spacing w:val="-10"/>
        </w:rPr>
        <w:t>the </w:t>
      </w:r>
      <w:r>
        <w:rPr>
          <w:color w:val="231F20"/>
          <w:spacing w:val="-8"/>
        </w:rPr>
        <w:t>functional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limitations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associated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with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balance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mobility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disorders.</w:t>
      </w:r>
      <w:r>
        <w:rPr>
          <w:color w:val="231F20"/>
          <w:spacing w:val="34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FAB </w:t>
      </w:r>
      <w:r>
        <w:rPr>
          <w:color w:val="231F20"/>
          <w:spacing w:val="-4"/>
        </w:rPr>
        <w:t>scale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scored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zero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four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ordinal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scale.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Scoring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based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 </w:t>
      </w:r>
      <w:r>
        <w:rPr>
          <w:color w:val="231F20"/>
          <w:spacing w:val="-10"/>
        </w:rPr>
        <w:t>complete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given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task,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duration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of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time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specific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position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can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be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maintained </w:t>
      </w:r>
      <w:r>
        <w:rPr>
          <w:color w:val="231F20"/>
          <w:spacing w:val="-8"/>
        </w:rPr>
        <w:t>without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losing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balance,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and/or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quality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with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which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task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8"/>
        </w:rPr>
        <w:t>performed.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This </w:t>
      </w:r>
      <w:r>
        <w:rPr>
          <w:color w:val="231F20"/>
          <w:spacing w:val="-4"/>
        </w:rPr>
        <w:t>scale,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originally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designed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evaluate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multiple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dimensions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 balance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independently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functioning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older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adults,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reliable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measure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balance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when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administered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individuals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FM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[4].</w:t>
      </w:r>
    </w:p>
    <w:p>
      <w:pPr>
        <w:pStyle w:val="BodyText"/>
        <w:spacing w:line="249" w:lineRule="auto" w:before="7"/>
        <w:ind w:left="111" w:right="36"/>
      </w:pPr>
      <w:r>
        <w:rPr>
          <w:color w:val="231F20"/>
          <w:w w:val="90"/>
        </w:rPr>
        <w:t>For additional information regarding test protocol for the FAB scale refer to </w:t>
      </w:r>
      <w:r>
        <w:rPr>
          <w:color w:val="231F20"/>
          <w:spacing w:val="-6"/>
        </w:rPr>
        <w:t>Rose,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Lucchese,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Wiersma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[3].</w:t>
      </w:r>
    </w:p>
    <w:p>
      <w:pPr>
        <w:pStyle w:val="BodyText"/>
        <w:spacing w:line="249" w:lineRule="auto" w:before="243"/>
        <w:ind w:left="111" w:right="36"/>
      </w:pPr>
      <w:r>
        <w:rPr>
          <w:color w:val="231F20"/>
          <w:spacing w:val="-10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purpose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study,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individual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test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items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on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FAB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scale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were</w:t>
      </w:r>
      <w:r>
        <w:rPr>
          <w:color w:val="231F20"/>
          <w:spacing w:val="-25"/>
        </w:rPr>
        <w:t> </w:t>
      </w:r>
      <w:r>
        <w:rPr>
          <w:color w:val="231F20"/>
          <w:spacing w:val="-10"/>
        </w:rPr>
        <w:t>divided </w:t>
      </w:r>
      <w:r>
        <w:rPr>
          <w:color w:val="231F20"/>
          <w:w w:val="90"/>
        </w:rPr>
        <w:t>into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four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new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variables,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each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one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representing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28"/>
          <w:w w:val="90"/>
        </w:rPr>
        <w:t> </w:t>
      </w:r>
      <w:r>
        <w:rPr>
          <w:color w:val="231F20"/>
          <w:w w:val="90"/>
        </w:rPr>
        <w:t>dimension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balance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(see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table</w:t>
      </w:r>
      <w:r>
        <w:rPr>
          <w:color w:val="231F20"/>
          <w:spacing w:val="-29"/>
          <w:w w:val="90"/>
        </w:rPr>
        <w:t> </w:t>
      </w:r>
      <w:r>
        <w:rPr>
          <w:color w:val="231F20"/>
          <w:w w:val="90"/>
        </w:rPr>
        <w:t>1). </w:t>
      </w:r>
      <w:r>
        <w:rPr>
          <w:color w:val="231F20"/>
          <w:spacing w:val="-4"/>
        </w:rPr>
        <w:t>For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dimension,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sum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individual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FAB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items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comprise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 </w:t>
      </w:r>
      <w:r>
        <w:rPr>
          <w:color w:val="231F20"/>
          <w:spacing w:val="-8"/>
        </w:rPr>
        <w:t>dimension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was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divided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total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number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items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that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dimension</w:t>
      </w:r>
      <w:r>
        <w:rPr>
          <w:color w:val="231F20"/>
          <w:spacing w:val="-22"/>
        </w:rPr>
        <w:t> </w:t>
      </w:r>
      <w:r>
        <w:rPr>
          <w:color w:val="231F20"/>
          <w:spacing w:val="-8"/>
        </w:rPr>
        <w:t>resulting </w:t>
      </w:r>
      <w:r>
        <w:rPr>
          <w:color w:val="231F20"/>
          <w:spacing w:val="-6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total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dimension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score.</w:t>
      </w:r>
      <w:r>
        <w:rPr>
          <w:color w:val="231F20"/>
          <w:spacing w:val="24"/>
        </w:rPr>
        <w:t> </w:t>
      </w:r>
      <w:r>
        <w:rPr>
          <w:color w:val="231F20"/>
          <w:spacing w:val="-6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example,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total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dimension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score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static </w:t>
      </w:r>
      <w:r>
        <w:rPr>
          <w:color w:val="231F20"/>
          <w:spacing w:val="-4"/>
        </w:rPr>
        <w:t>balance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determined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adding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score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item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2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score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item </w:t>
      </w:r>
      <w:r>
        <w:rPr>
          <w:color w:val="231F20"/>
          <w:spacing w:val="-8"/>
        </w:rPr>
        <w:t>6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then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dividing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this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sum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by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2.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This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method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creating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subscales</w:t>
      </w:r>
      <w:r>
        <w:rPr>
          <w:color w:val="231F20"/>
          <w:spacing w:val="-31"/>
        </w:rPr>
        <w:t> </w:t>
      </w:r>
      <w:r>
        <w:rPr>
          <w:color w:val="231F20"/>
          <w:spacing w:val="-8"/>
        </w:rPr>
        <w:t>resulted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consistent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range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total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scores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(0-4)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across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dimensions.</w:t>
      </w:r>
    </w:p>
    <w:p>
      <w:pPr>
        <w:pStyle w:val="BodyText"/>
        <w:spacing w:before="14"/>
      </w:pPr>
    </w:p>
    <w:p>
      <w:pPr>
        <w:spacing w:before="0"/>
        <w:ind w:left="0" w:right="325" w:firstLine="0"/>
        <w:jc w:val="center"/>
        <w:rPr>
          <w:rFonts w:ascii="Arial"/>
          <w:b/>
          <w:sz w:val="27"/>
        </w:rPr>
      </w:pPr>
      <w:r>
        <w:rPr>
          <w:rFonts w:ascii="Arial"/>
          <w:b/>
          <w:color w:val="231F20"/>
          <w:w w:val="90"/>
          <w:sz w:val="27"/>
        </w:rPr>
        <w:t>Table</w:t>
      </w:r>
      <w:r>
        <w:rPr>
          <w:rFonts w:ascii="Arial"/>
          <w:b/>
          <w:color w:val="231F20"/>
          <w:spacing w:val="-12"/>
          <w:w w:val="90"/>
          <w:sz w:val="27"/>
        </w:rPr>
        <w:t> </w:t>
      </w:r>
      <w:r>
        <w:rPr>
          <w:rFonts w:ascii="Arial"/>
          <w:b/>
          <w:color w:val="231F20"/>
          <w:w w:val="90"/>
          <w:sz w:val="27"/>
        </w:rPr>
        <w:t>1</w:t>
      </w:r>
      <w:r>
        <w:rPr>
          <w:rFonts w:ascii="Arial"/>
          <w:b/>
          <w:color w:val="231F20"/>
          <w:spacing w:val="-12"/>
          <w:w w:val="90"/>
          <w:sz w:val="27"/>
        </w:rPr>
        <w:t> </w:t>
      </w:r>
      <w:r>
        <w:rPr>
          <w:rFonts w:ascii="Arial"/>
          <w:b/>
          <w:color w:val="231F20"/>
          <w:w w:val="90"/>
          <w:sz w:val="27"/>
        </w:rPr>
        <w:t>-</w:t>
      </w:r>
      <w:r>
        <w:rPr>
          <w:rFonts w:ascii="Arial"/>
          <w:b/>
          <w:color w:val="231F20"/>
          <w:spacing w:val="-12"/>
          <w:w w:val="90"/>
          <w:sz w:val="27"/>
        </w:rPr>
        <w:t> </w:t>
      </w:r>
      <w:r>
        <w:rPr>
          <w:rFonts w:ascii="Arial"/>
          <w:b/>
          <w:color w:val="231F20"/>
          <w:w w:val="90"/>
          <w:sz w:val="27"/>
        </w:rPr>
        <w:t>FAB</w:t>
      </w:r>
      <w:r>
        <w:rPr>
          <w:rFonts w:ascii="Arial"/>
          <w:b/>
          <w:color w:val="231F20"/>
          <w:spacing w:val="-12"/>
          <w:w w:val="90"/>
          <w:sz w:val="27"/>
        </w:rPr>
        <w:t> </w:t>
      </w:r>
      <w:r>
        <w:rPr>
          <w:rFonts w:ascii="Arial"/>
          <w:b/>
          <w:color w:val="231F20"/>
          <w:w w:val="90"/>
          <w:sz w:val="27"/>
        </w:rPr>
        <w:t>scale</w:t>
      </w:r>
      <w:r>
        <w:rPr>
          <w:rFonts w:ascii="Arial"/>
          <w:b/>
          <w:color w:val="231F20"/>
          <w:spacing w:val="-12"/>
          <w:w w:val="90"/>
          <w:sz w:val="27"/>
        </w:rPr>
        <w:t> </w:t>
      </w:r>
      <w:r>
        <w:rPr>
          <w:rFonts w:ascii="Arial"/>
          <w:b/>
          <w:color w:val="231F20"/>
          <w:spacing w:val="-2"/>
          <w:w w:val="90"/>
          <w:sz w:val="27"/>
        </w:rPr>
        <w:t>Dimensions</w:t>
      </w:r>
    </w:p>
    <w:p>
      <w:pPr>
        <w:pStyle w:val="BodyText"/>
        <w:spacing w:before="7" w:after="1"/>
        <w:rPr>
          <w:rFonts w:ascii="Arial"/>
          <w:b/>
          <w:sz w:val="10"/>
        </w:rPr>
      </w:pPr>
    </w:p>
    <w:tbl>
      <w:tblPr>
        <w:tblW w:w="0" w:type="auto"/>
        <w:jc w:val="left"/>
        <w:tblInd w:w="165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9"/>
        <w:gridCol w:w="4691"/>
      </w:tblGrid>
      <w:tr>
        <w:trPr>
          <w:trHeight w:val="538" w:hRule="atLeast"/>
        </w:trPr>
        <w:tc>
          <w:tcPr>
            <w:tcW w:w="5830" w:type="dxa"/>
            <w:gridSpan w:val="2"/>
            <w:tcBorders>
              <w:bottom w:val="nil"/>
            </w:tcBorders>
            <w:shd w:val="clear" w:color="auto" w:fill="F3901D"/>
          </w:tcPr>
          <w:p>
            <w:pPr>
              <w:pStyle w:val="TableParagraph"/>
              <w:spacing w:before="122"/>
              <w:ind w:left="157"/>
              <w:jc w:val="left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w w:val="90"/>
                <w:sz w:val="27"/>
              </w:rPr>
              <w:t>Static</w:t>
            </w:r>
            <w:r>
              <w:rPr>
                <w:rFonts w:ascii="Arial"/>
                <w:b/>
                <w:color w:val="231F20"/>
                <w:spacing w:val="-3"/>
                <w:sz w:val="2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7"/>
              </w:rPr>
              <w:t>Balance</w:t>
            </w:r>
          </w:p>
        </w:tc>
      </w:tr>
      <w:tr>
        <w:trPr>
          <w:trHeight w:val="881" w:hRule="atLeast"/>
        </w:trPr>
        <w:tc>
          <w:tcPr>
            <w:tcW w:w="11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2</w:t>
            </w:r>
          </w:p>
          <w:p>
            <w:pPr>
              <w:pStyle w:val="TableParagraph"/>
              <w:spacing w:before="69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6</w:t>
            </w:r>
          </w:p>
        </w:tc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auto" w:before="95"/>
              <w:ind w:left="154" w:right="312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Reach</w:t>
            </w:r>
            <w:r>
              <w:rPr>
                <w:color w:val="231F20"/>
                <w:spacing w:val="-6"/>
                <w:sz w:val="27"/>
              </w:rPr>
              <w:t> </w:t>
            </w:r>
            <w:r>
              <w:rPr>
                <w:color w:val="231F20"/>
                <w:sz w:val="27"/>
              </w:rPr>
              <w:t>forward</w:t>
            </w:r>
            <w:r>
              <w:rPr>
                <w:color w:val="231F20"/>
                <w:spacing w:val="-6"/>
                <w:sz w:val="27"/>
              </w:rPr>
              <w:t> </w:t>
            </w:r>
            <w:r>
              <w:rPr>
                <w:color w:val="231F20"/>
                <w:sz w:val="27"/>
              </w:rPr>
              <w:t>to</w:t>
            </w:r>
            <w:r>
              <w:rPr>
                <w:color w:val="231F20"/>
                <w:spacing w:val="-6"/>
                <w:sz w:val="27"/>
              </w:rPr>
              <w:t> </w:t>
            </w:r>
            <w:r>
              <w:rPr>
                <w:color w:val="231F20"/>
                <w:sz w:val="27"/>
              </w:rPr>
              <w:t>retrieve</w:t>
            </w:r>
            <w:r>
              <w:rPr>
                <w:color w:val="231F20"/>
                <w:spacing w:val="-6"/>
                <w:sz w:val="27"/>
              </w:rPr>
              <w:t> </w:t>
            </w:r>
            <w:r>
              <w:rPr>
                <w:color w:val="231F20"/>
                <w:sz w:val="27"/>
              </w:rPr>
              <w:t>object </w:t>
            </w:r>
            <w:r>
              <w:rPr>
                <w:color w:val="231F20"/>
                <w:w w:val="105"/>
                <w:sz w:val="27"/>
              </w:rPr>
              <w:t>Stand on one leg</w:t>
            </w:r>
          </w:p>
        </w:tc>
      </w:tr>
      <w:tr>
        <w:trPr>
          <w:trHeight w:val="535" w:hRule="atLeast"/>
        </w:trPr>
        <w:tc>
          <w:tcPr>
            <w:tcW w:w="5830" w:type="dxa"/>
            <w:gridSpan w:val="2"/>
            <w:tcBorders>
              <w:top w:val="nil"/>
              <w:bottom w:val="nil"/>
            </w:tcBorders>
            <w:shd w:val="clear" w:color="auto" w:fill="F3901D"/>
          </w:tcPr>
          <w:p>
            <w:pPr>
              <w:pStyle w:val="TableParagraph"/>
              <w:spacing w:before="109"/>
              <w:ind w:left="157"/>
              <w:jc w:val="left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w w:val="90"/>
                <w:sz w:val="27"/>
              </w:rPr>
              <w:t>Dynamic</w:t>
            </w:r>
            <w:r>
              <w:rPr>
                <w:rFonts w:ascii="Arial"/>
                <w:b/>
                <w:color w:val="231F20"/>
                <w:spacing w:val="34"/>
                <w:sz w:val="2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7"/>
              </w:rPr>
              <w:t>Balance</w:t>
            </w:r>
          </w:p>
        </w:tc>
      </w:tr>
      <w:tr>
        <w:trPr>
          <w:trHeight w:val="1670" w:hRule="atLeast"/>
        </w:trPr>
        <w:tc>
          <w:tcPr>
            <w:tcW w:w="11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4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3</w:t>
            </w:r>
          </w:p>
          <w:p>
            <w:pPr>
              <w:pStyle w:val="TableParagraph"/>
              <w:spacing w:before="69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4</w:t>
            </w:r>
          </w:p>
          <w:p>
            <w:pPr>
              <w:pStyle w:val="TableParagraph"/>
              <w:spacing w:before="70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5</w:t>
            </w:r>
          </w:p>
          <w:p>
            <w:pPr>
              <w:pStyle w:val="TableParagraph"/>
              <w:spacing w:before="69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8</w:t>
            </w:r>
          </w:p>
        </w:tc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4"/>
              <w:ind w:left="154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Turn</w:t>
            </w:r>
            <w:r>
              <w:rPr>
                <w:color w:val="231F20"/>
                <w:spacing w:val="-8"/>
                <w:sz w:val="27"/>
              </w:rPr>
              <w:t> </w:t>
            </w:r>
            <w:r>
              <w:rPr>
                <w:color w:val="231F20"/>
                <w:sz w:val="27"/>
              </w:rPr>
              <w:t>in</w:t>
            </w:r>
            <w:r>
              <w:rPr>
                <w:color w:val="231F20"/>
                <w:spacing w:val="-8"/>
                <w:sz w:val="27"/>
              </w:rPr>
              <w:t> </w:t>
            </w:r>
            <w:r>
              <w:rPr>
                <w:color w:val="231F20"/>
                <w:sz w:val="27"/>
              </w:rPr>
              <w:t>a</w:t>
            </w:r>
            <w:r>
              <w:rPr>
                <w:color w:val="231F20"/>
                <w:spacing w:val="-7"/>
                <w:sz w:val="27"/>
              </w:rPr>
              <w:t> </w:t>
            </w:r>
            <w:r>
              <w:rPr>
                <w:color w:val="231F20"/>
                <w:sz w:val="27"/>
              </w:rPr>
              <w:t>full</w:t>
            </w:r>
            <w:r>
              <w:rPr>
                <w:color w:val="231F20"/>
                <w:spacing w:val="-8"/>
                <w:sz w:val="27"/>
              </w:rPr>
              <w:t> </w:t>
            </w:r>
            <w:r>
              <w:rPr>
                <w:color w:val="231F20"/>
                <w:spacing w:val="-2"/>
                <w:sz w:val="27"/>
              </w:rPr>
              <w:t>circle</w:t>
            </w:r>
          </w:p>
          <w:p>
            <w:pPr>
              <w:pStyle w:val="TableParagraph"/>
              <w:spacing w:line="292" w:lineRule="auto" w:before="69"/>
              <w:ind w:left="154" w:right="312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Step</w:t>
            </w:r>
            <w:r>
              <w:rPr>
                <w:color w:val="231F20"/>
                <w:spacing w:val="-14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up</w:t>
            </w:r>
            <w:r>
              <w:rPr>
                <w:color w:val="231F20"/>
                <w:spacing w:val="-14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and</w:t>
            </w:r>
            <w:r>
              <w:rPr>
                <w:color w:val="231F20"/>
                <w:spacing w:val="-14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over</w:t>
            </w:r>
            <w:r>
              <w:rPr>
                <w:color w:val="231F20"/>
                <w:spacing w:val="-14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6</w:t>
            </w:r>
            <w:r>
              <w:rPr>
                <w:color w:val="231F20"/>
                <w:spacing w:val="-14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inch</w:t>
            </w:r>
            <w:r>
              <w:rPr>
                <w:color w:val="231F20"/>
                <w:spacing w:val="-14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bench Tandem</w:t>
            </w:r>
            <w:r>
              <w:rPr>
                <w:color w:val="231F20"/>
                <w:spacing w:val="-5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walk</w:t>
            </w:r>
          </w:p>
          <w:p>
            <w:pPr>
              <w:pStyle w:val="TableParagraph"/>
              <w:spacing w:before="1"/>
              <w:ind w:left="154"/>
              <w:jc w:val="left"/>
              <w:rPr>
                <w:sz w:val="27"/>
              </w:rPr>
            </w:pPr>
            <w:r>
              <w:rPr>
                <w:color w:val="231F20"/>
                <w:spacing w:val="-2"/>
                <w:sz w:val="27"/>
              </w:rPr>
              <w:t>Two-footed</w:t>
            </w:r>
            <w:r>
              <w:rPr>
                <w:color w:val="231F20"/>
                <w:spacing w:val="-13"/>
                <w:sz w:val="27"/>
              </w:rPr>
              <w:t> </w:t>
            </w:r>
            <w:r>
              <w:rPr>
                <w:color w:val="231F20"/>
                <w:spacing w:val="-4"/>
                <w:sz w:val="27"/>
              </w:rPr>
              <w:t>jump</w:t>
            </w:r>
          </w:p>
        </w:tc>
      </w:tr>
      <w:tr>
        <w:trPr>
          <w:trHeight w:val="535" w:hRule="atLeast"/>
        </w:trPr>
        <w:tc>
          <w:tcPr>
            <w:tcW w:w="5830" w:type="dxa"/>
            <w:gridSpan w:val="2"/>
            <w:tcBorders>
              <w:top w:val="nil"/>
              <w:bottom w:val="nil"/>
            </w:tcBorders>
            <w:shd w:val="clear" w:color="auto" w:fill="F3901D"/>
          </w:tcPr>
          <w:p>
            <w:pPr>
              <w:pStyle w:val="TableParagraph"/>
              <w:spacing w:before="119"/>
              <w:ind w:left="157"/>
              <w:jc w:val="left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w w:val="90"/>
                <w:sz w:val="27"/>
              </w:rPr>
              <w:t>Sensory</w:t>
            </w:r>
            <w:r>
              <w:rPr>
                <w:rFonts w:ascii="Arial"/>
                <w:b/>
                <w:color w:val="231F20"/>
                <w:spacing w:val="8"/>
                <w:sz w:val="27"/>
              </w:rPr>
              <w:t> </w:t>
            </w:r>
            <w:r>
              <w:rPr>
                <w:rFonts w:ascii="Arial"/>
                <w:b/>
                <w:color w:val="231F20"/>
                <w:w w:val="90"/>
                <w:sz w:val="27"/>
              </w:rPr>
              <w:t>Reception</w:t>
            </w:r>
            <w:r>
              <w:rPr>
                <w:rFonts w:ascii="Arial"/>
                <w:b/>
                <w:color w:val="231F20"/>
                <w:spacing w:val="9"/>
                <w:sz w:val="27"/>
              </w:rPr>
              <w:t> </w:t>
            </w:r>
            <w:r>
              <w:rPr>
                <w:rFonts w:ascii="Arial"/>
                <w:b/>
                <w:color w:val="231F20"/>
                <w:w w:val="90"/>
                <w:sz w:val="27"/>
              </w:rPr>
              <w:t>and</w:t>
            </w:r>
            <w:r>
              <w:rPr>
                <w:rFonts w:ascii="Arial"/>
                <w:b/>
                <w:color w:val="231F20"/>
                <w:spacing w:val="9"/>
                <w:sz w:val="2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w w:val="90"/>
                <w:sz w:val="27"/>
              </w:rPr>
              <w:t>Integration</w:t>
            </w:r>
          </w:p>
        </w:tc>
      </w:tr>
      <w:tr>
        <w:trPr>
          <w:trHeight w:val="1344" w:hRule="atLeast"/>
        </w:trPr>
        <w:tc>
          <w:tcPr>
            <w:tcW w:w="11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9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1</w:t>
            </w:r>
          </w:p>
          <w:p>
            <w:pPr>
              <w:pStyle w:val="TableParagraph"/>
              <w:spacing w:before="70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7</w:t>
            </w:r>
          </w:p>
          <w:p>
            <w:pPr>
              <w:pStyle w:val="TableParagraph"/>
              <w:spacing w:before="69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9</w:t>
            </w:r>
          </w:p>
        </w:tc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auto" w:before="109"/>
              <w:ind w:left="154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Stand</w:t>
            </w:r>
            <w:r>
              <w:rPr>
                <w:color w:val="231F20"/>
                <w:spacing w:val="-22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with</w:t>
            </w:r>
            <w:r>
              <w:rPr>
                <w:color w:val="231F20"/>
                <w:spacing w:val="-22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feet</w:t>
            </w:r>
            <w:r>
              <w:rPr>
                <w:color w:val="231F20"/>
                <w:spacing w:val="-22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together</w:t>
            </w:r>
            <w:r>
              <w:rPr>
                <w:color w:val="231F20"/>
                <w:spacing w:val="-21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&amp;</w:t>
            </w:r>
            <w:r>
              <w:rPr>
                <w:color w:val="231F20"/>
                <w:spacing w:val="-22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eyes</w:t>
            </w:r>
            <w:r>
              <w:rPr>
                <w:color w:val="231F20"/>
                <w:spacing w:val="-22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closed Stand on foam with eyes closed</w:t>
            </w:r>
          </w:p>
          <w:p>
            <w:pPr>
              <w:pStyle w:val="TableParagraph"/>
              <w:spacing w:before="1"/>
              <w:ind w:left="154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Walk</w:t>
            </w:r>
            <w:r>
              <w:rPr>
                <w:color w:val="231F20"/>
                <w:spacing w:val="-8"/>
                <w:sz w:val="27"/>
              </w:rPr>
              <w:t> </w:t>
            </w:r>
            <w:r>
              <w:rPr>
                <w:color w:val="231F20"/>
                <w:sz w:val="27"/>
              </w:rPr>
              <w:t>with</w:t>
            </w:r>
            <w:r>
              <w:rPr>
                <w:color w:val="231F20"/>
                <w:spacing w:val="-8"/>
                <w:sz w:val="27"/>
              </w:rPr>
              <w:t> </w:t>
            </w:r>
            <w:r>
              <w:rPr>
                <w:color w:val="231F20"/>
                <w:sz w:val="27"/>
              </w:rPr>
              <w:t>head</w:t>
            </w:r>
            <w:r>
              <w:rPr>
                <w:color w:val="231F20"/>
                <w:spacing w:val="-8"/>
                <w:sz w:val="27"/>
              </w:rPr>
              <w:t> </w:t>
            </w:r>
            <w:r>
              <w:rPr>
                <w:color w:val="231F20"/>
                <w:spacing w:val="-2"/>
                <w:sz w:val="27"/>
              </w:rPr>
              <w:t>turns</w:t>
            </w:r>
          </w:p>
        </w:tc>
      </w:tr>
      <w:tr>
        <w:trPr>
          <w:trHeight w:val="535" w:hRule="atLeast"/>
        </w:trPr>
        <w:tc>
          <w:tcPr>
            <w:tcW w:w="5830" w:type="dxa"/>
            <w:gridSpan w:val="2"/>
            <w:tcBorders>
              <w:top w:val="nil"/>
              <w:bottom w:val="nil"/>
            </w:tcBorders>
            <w:shd w:val="clear" w:color="auto" w:fill="F3901D"/>
          </w:tcPr>
          <w:p>
            <w:pPr>
              <w:pStyle w:val="TableParagraph"/>
              <w:spacing w:before="118"/>
              <w:ind w:left="157"/>
              <w:jc w:val="left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w w:val="90"/>
                <w:sz w:val="27"/>
              </w:rPr>
              <w:t>Reactive</w:t>
            </w:r>
            <w:r>
              <w:rPr>
                <w:rFonts w:ascii="Arial"/>
                <w:b/>
                <w:color w:val="231F20"/>
                <w:spacing w:val="7"/>
                <w:sz w:val="27"/>
              </w:rPr>
              <w:t> </w:t>
            </w:r>
            <w:r>
              <w:rPr>
                <w:rFonts w:ascii="Arial"/>
                <w:b/>
                <w:color w:val="231F20"/>
                <w:w w:val="90"/>
                <w:sz w:val="27"/>
              </w:rPr>
              <w:t>Postural</w:t>
            </w:r>
            <w:r>
              <w:rPr>
                <w:rFonts w:ascii="Arial"/>
                <w:b/>
                <w:color w:val="231F20"/>
                <w:spacing w:val="7"/>
                <w:sz w:val="2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w w:val="90"/>
                <w:sz w:val="27"/>
              </w:rPr>
              <w:t>Control</w:t>
            </w:r>
          </w:p>
        </w:tc>
      </w:tr>
      <w:tr>
        <w:trPr>
          <w:trHeight w:val="523" w:hRule="atLeast"/>
        </w:trPr>
        <w:tc>
          <w:tcPr>
            <w:tcW w:w="1139" w:type="dxa"/>
            <w:tcBorders>
              <w:top w:val="nil"/>
            </w:tcBorders>
          </w:tcPr>
          <w:p>
            <w:pPr>
              <w:pStyle w:val="TableParagraph"/>
              <w:spacing w:before="114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item</w:t>
            </w:r>
            <w:r>
              <w:rPr>
                <w:color w:val="231F20"/>
                <w:spacing w:val="-20"/>
                <w:w w:val="105"/>
                <w:sz w:val="27"/>
              </w:rPr>
              <w:t> </w:t>
            </w:r>
            <w:r>
              <w:rPr>
                <w:color w:val="231F20"/>
                <w:spacing w:val="-5"/>
                <w:w w:val="105"/>
                <w:sz w:val="27"/>
              </w:rPr>
              <w:t>10</w:t>
            </w:r>
          </w:p>
        </w:tc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114"/>
              <w:ind w:left="154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Reactive</w:t>
            </w:r>
            <w:r>
              <w:rPr>
                <w:color w:val="231F20"/>
                <w:spacing w:val="15"/>
                <w:sz w:val="27"/>
              </w:rPr>
              <w:t> </w:t>
            </w:r>
            <w:r>
              <w:rPr>
                <w:color w:val="231F20"/>
                <w:sz w:val="27"/>
              </w:rPr>
              <w:t>postural</w:t>
            </w:r>
            <w:r>
              <w:rPr>
                <w:color w:val="231F20"/>
                <w:spacing w:val="15"/>
                <w:sz w:val="27"/>
              </w:rPr>
              <w:t> </w:t>
            </w:r>
            <w:r>
              <w:rPr>
                <w:color w:val="231F20"/>
                <w:spacing w:val="-2"/>
                <w:sz w:val="27"/>
              </w:rPr>
              <w:t>control</w:t>
            </w:r>
          </w:p>
        </w:tc>
      </w:tr>
    </w:tbl>
    <w:p>
      <w:pPr>
        <w:pStyle w:val="Heading1"/>
        <w:spacing w:before="96"/>
      </w:pPr>
      <w:r>
        <w:rPr>
          <w:b w:val="0"/>
        </w:rPr>
        <w:br w:type="column"/>
      </w:r>
      <w:r>
        <w:rPr>
          <w:color w:val="00669A"/>
          <w:spacing w:val="-2"/>
        </w:rPr>
        <w:t>Methods</w:t>
      </w:r>
    </w:p>
    <w:p>
      <w:pPr>
        <w:pStyle w:val="BodyText"/>
        <w:spacing w:line="249" w:lineRule="auto"/>
        <w:ind w:left="111" w:right="88"/>
      </w:pPr>
      <w:r>
        <w:rPr>
          <w:color w:val="231F20"/>
          <w:spacing w:val="-6"/>
        </w:rPr>
        <w:t>Multiple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dimensions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balance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were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assessed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group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69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older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adults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(M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=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60,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SD=7.62) </w:t>
      </w:r>
      <w:r>
        <w:rPr>
          <w:color w:val="231F20"/>
          <w:spacing w:val="-4"/>
        </w:rPr>
        <w:t>with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confirmed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diagnosis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FM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(OAFM)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75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healthy,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older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adults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(OAH) (M=68,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SD=8.77)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part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comprehensive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evaluation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cognition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physical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function.</w:t>
      </w:r>
    </w:p>
    <w:p>
      <w:pPr>
        <w:pStyle w:val="BodyText"/>
        <w:spacing w:line="249" w:lineRule="auto" w:before="3"/>
        <w:ind w:left="111" w:right="189"/>
      </w:pPr>
      <w:r>
        <w:rPr>
          <w:color w:val="231F20"/>
          <w:w w:val="90"/>
        </w:rPr>
        <w:t>Specifically, the four dimensions of balance (static balance, dynamic balance, sensory reception and integration, and reactive postural control) were evaluated to determine whether there was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significant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difference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between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OAFM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OAH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Group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differences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investigated </w:t>
      </w:r>
      <w:r>
        <w:rPr>
          <w:color w:val="231F20"/>
          <w:spacing w:val="-8"/>
        </w:rPr>
        <w:t>using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Multiple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Analysis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Covariance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(MANCOVA)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with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age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as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covariate.</w:t>
      </w:r>
      <w:r>
        <w:rPr>
          <w:color w:val="231F20"/>
          <w:spacing w:val="-17"/>
        </w:rPr>
        <w:t> </w:t>
      </w:r>
      <w:r>
        <w:rPr>
          <w:color w:val="231F20"/>
          <w:spacing w:val="-8"/>
        </w:rPr>
        <w:t>Roy-Bargmann’s </w:t>
      </w:r>
      <w:r>
        <w:rPr>
          <w:color w:val="231F20"/>
          <w:spacing w:val="-4"/>
        </w:rPr>
        <w:t>Stepdown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Analysis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used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follow-up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test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separately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assess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dependent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variable by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removing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effect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shared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variance.</w:t>
      </w:r>
    </w:p>
    <w:p>
      <w:pPr>
        <w:pStyle w:val="BodyText"/>
        <w:spacing w:line="249" w:lineRule="auto" w:before="246"/>
        <w:ind w:left="111"/>
      </w:pPr>
      <w:r>
        <w:rPr>
          <w:color w:val="231F20"/>
          <w:spacing w:val="-8"/>
        </w:rPr>
        <w:t>Important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demographic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information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was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obtained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using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Health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Activity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Questionnaire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(HAQ) </w:t>
      </w:r>
      <w:r>
        <w:rPr>
          <w:color w:val="231F20"/>
          <w:spacing w:val="-6"/>
        </w:rPr>
        <w:t>prior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administration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physical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performance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tests.</w:t>
      </w:r>
      <w:r>
        <w:rPr>
          <w:color w:val="231F20"/>
          <w:spacing w:val="27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HAQ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provided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information related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medical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history,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medication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use,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level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cognitive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function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(using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Mini-Mental scale)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well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retrospective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fall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history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report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(based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history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falls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previous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12 months).</w:t>
      </w:r>
      <w:r>
        <w:rPr>
          <w:color w:val="231F20"/>
          <w:spacing w:val="31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addition,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self-reported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physical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activity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levels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were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also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included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HAQ.</w:t>
      </w:r>
    </w:p>
    <w:p>
      <w:pPr>
        <w:pStyle w:val="BodyText"/>
        <w:spacing w:before="14"/>
      </w:pPr>
    </w:p>
    <w:p>
      <w:pPr>
        <w:spacing w:before="0"/>
        <w:ind w:left="330" w:right="0" w:firstLine="0"/>
        <w:jc w:val="left"/>
        <w:rPr>
          <w:rFonts w:ascii="Arial" w:hAnsi="Arial"/>
          <w:b/>
          <w:sz w:val="27"/>
        </w:rPr>
      </w:pPr>
      <w:r>
        <w:rPr>
          <w:rFonts w:ascii="Arial" w:hAnsi="Arial"/>
          <w:b/>
          <w:color w:val="231F20"/>
          <w:spacing w:val="-8"/>
          <w:sz w:val="27"/>
        </w:rPr>
        <w:t>Table</w:t>
      </w:r>
      <w:r>
        <w:rPr>
          <w:rFonts w:ascii="Arial" w:hAnsi="Arial"/>
          <w:b/>
          <w:color w:val="231F20"/>
          <w:spacing w:val="-16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2</w:t>
      </w:r>
      <w:r>
        <w:rPr>
          <w:rFonts w:ascii="Arial" w:hAnsi="Arial"/>
          <w:b/>
          <w:color w:val="231F20"/>
          <w:spacing w:val="-15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–</w:t>
      </w:r>
      <w:r>
        <w:rPr>
          <w:rFonts w:ascii="Arial" w:hAnsi="Arial"/>
          <w:b/>
          <w:color w:val="231F20"/>
          <w:spacing w:val="-16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Demographic</w:t>
      </w:r>
      <w:r>
        <w:rPr>
          <w:rFonts w:ascii="Arial" w:hAnsi="Arial"/>
          <w:b/>
          <w:color w:val="231F20"/>
          <w:spacing w:val="-15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Characteristics</w:t>
      </w:r>
      <w:r>
        <w:rPr>
          <w:rFonts w:ascii="Arial" w:hAnsi="Arial"/>
          <w:b/>
          <w:color w:val="231F20"/>
          <w:spacing w:val="-15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of</w:t>
      </w:r>
      <w:r>
        <w:rPr>
          <w:rFonts w:ascii="Arial" w:hAnsi="Arial"/>
          <w:b/>
          <w:color w:val="231F20"/>
          <w:spacing w:val="-16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Participants</w:t>
      </w:r>
      <w:r>
        <w:rPr>
          <w:rFonts w:ascii="Arial" w:hAnsi="Arial"/>
          <w:b/>
          <w:color w:val="231F20"/>
          <w:spacing w:val="-15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with</w:t>
      </w:r>
      <w:r>
        <w:rPr>
          <w:rFonts w:ascii="Arial" w:hAnsi="Arial"/>
          <w:b/>
          <w:color w:val="231F20"/>
          <w:spacing w:val="-16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and</w:t>
      </w:r>
      <w:r>
        <w:rPr>
          <w:rFonts w:ascii="Arial" w:hAnsi="Arial"/>
          <w:b/>
          <w:color w:val="231F20"/>
          <w:spacing w:val="-15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without</w:t>
      </w:r>
      <w:r>
        <w:rPr>
          <w:rFonts w:ascii="Arial" w:hAnsi="Arial"/>
          <w:b/>
          <w:color w:val="231F20"/>
          <w:spacing w:val="-15"/>
          <w:sz w:val="27"/>
        </w:rPr>
        <w:t> </w:t>
      </w:r>
      <w:r>
        <w:rPr>
          <w:rFonts w:ascii="Arial" w:hAnsi="Arial"/>
          <w:b/>
          <w:color w:val="231F20"/>
          <w:spacing w:val="-8"/>
          <w:sz w:val="27"/>
        </w:rPr>
        <w:t>Fibromyalgia</w:t>
      </w:r>
    </w:p>
    <w:p>
      <w:pPr>
        <w:pStyle w:val="BodyText"/>
        <w:spacing w:before="7"/>
        <w:rPr>
          <w:rFonts w:ascii="Arial"/>
          <w:b/>
          <w:sz w:val="11"/>
        </w:rPr>
      </w:pPr>
    </w:p>
    <w:tbl>
      <w:tblPr>
        <w:tblW w:w="0" w:type="auto"/>
        <w:jc w:val="left"/>
        <w:tblInd w:w="26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6"/>
        <w:gridCol w:w="1119"/>
        <w:gridCol w:w="1136"/>
        <w:gridCol w:w="1121"/>
        <w:gridCol w:w="1125"/>
        <w:gridCol w:w="2757"/>
      </w:tblGrid>
      <w:tr>
        <w:trPr>
          <w:trHeight w:val="566" w:hRule="atLeast"/>
        </w:trPr>
        <w:tc>
          <w:tcPr>
            <w:tcW w:w="3096" w:type="dxa"/>
            <w:shd w:val="clear" w:color="auto" w:fill="F3901D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2255" w:type="dxa"/>
            <w:gridSpan w:val="2"/>
            <w:shd w:val="clear" w:color="auto" w:fill="F3901D"/>
          </w:tcPr>
          <w:p>
            <w:pPr>
              <w:pStyle w:val="TableParagraph"/>
              <w:spacing w:before="157"/>
              <w:ind w:left="755"/>
              <w:jc w:val="left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spacing w:val="-4"/>
                <w:sz w:val="27"/>
              </w:rPr>
              <w:t>OAFM</w:t>
            </w:r>
          </w:p>
        </w:tc>
        <w:tc>
          <w:tcPr>
            <w:tcW w:w="2246" w:type="dxa"/>
            <w:gridSpan w:val="2"/>
            <w:shd w:val="clear" w:color="auto" w:fill="F3901D"/>
          </w:tcPr>
          <w:p>
            <w:pPr>
              <w:pStyle w:val="TableParagraph"/>
              <w:spacing w:before="157"/>
              <w:ind w:left="32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spacing w:val="-5"/>
                <w:sz w:val="27"/>
              </w:rPr>
              <w:t>OAH</w:t>
            </w:r>
          </w:p>
        </w:tc>
        <w:tc>
          <w:tcPr>
            <w:tcW w:w="2757" w:type="dxa"/>
            <w:shd w:val="clear" w:color="auto" w:fill="F3901D"/>
          </w:tcPr>
          <w:p>
            <w:pPr>
              <w:pStyle w:val="TableParagraph"/>
              <w:spacing w:before="157"/>
              <w:ind w:left="4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31F20"/>
                <w:w w:val="90"/>
                <w:sz w:val="27"/>
              </w:rPr>
              <w:t>Group</w:t>
            </w:r>
            <w:r>
              <w:rPr>
                <w:rFonts w:ascii="Arial"/>
                <w:b/>
                <w:color w:val="231F20"/>
                <w:spacing w:val="11"/>
                <w:sz w:val="27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7"/>
              </w:rPr>
              <w:t>Differences</w:t>
            </w:r>
          </w:p>
        </w:tc>
      </w:tr>
      <w:tr>
        <w:trPr>
          <w:trHeight w:val="533" w:hRule="atLeast"/>
        </w:trPr>
        <w:tc>
          <w:tcPr>
            <w:tcW w:w="3096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spacing w:before="136"/>
              <w:ind w:left="54"/>
              <w:rPr>
                <w:sz w:val="27"/>
              </w:rPr>
            </w:pPr>
            <w:r>
              <w:rPr>
                <w:color w:val="231F20"/>
                <w:spacing w:val="-10"/>
                <w:w w:val="105"/>
                <w:sz w:val="27"/>
              </w:rPr>
              <w:t>M</w:t>
            </w:r>
          </w:p>
        </w:tc>
        <w:tc>
          <w:tcPr>
            <w:tcW w:w="1136" w:type="dxa"/>
          </w:tcPr>
          <w:p>
            <w:pPr>
              <w:pStyle w:val="TableParagraph"/>
              <w:spacing w:before="136"/>
              <w:ind w:left="9"/>
              <w:rPr>
                <w:sz w:val="27"/>
              </w:rPr>
            </w:pPr>
            <w:r>
              <w:rPr>
                <w:color w:val="231F20"/>
                <w:spacing w:val="-5"/>
                <w:sz w:val="27"/>
              </w:rPr>
              <w:t>SD</w:t>
            </w:r>
          </w:p>
        </w:tc>
        <w:tc>
          <w:tcPr>
            <w:tcW w:w="1121" w:type="dxa"/>
          </w:tcPr>
          <w:p>
            <w:pPr>
              <w:pStyle w:val="TableParagraph"/>
              <w:spacing w:before="136"/>
              <w:ind w:left="13" w:right="1"/>
              <w:rPr>
                <w:sz w:val="27"/>
              </w:rPr>
            </w:pPr>
            <w:r>
              <w:rPr>
                <w:color w:val="231F20"/>
                <w:spacing w:val="-10"/>
                <w:w w:val="105"/>
                <w:sz w:val="27"/>
              </w:rPr>
              <w:t>M</w:t>
            </w:r>
          </w:p>
        </w:tc>
        <w:tc>
          <w:tcPr>
            <w:tcW w:w="1125" w:type="dxa"/>
          </w:tcPr>
          <w:p>
            <w:pPr>
              <w:pStyle w:val="TableParagraph"/>
              <w:spacing w:before="136"/>
              <w:ind w:left="0" w:right="4"/>
              <w:rPr>
                <w:sz w:val="27"/>
              </w:rPr>
            </w:pPr>
            <w:r>
              <w:rPr>
                <w:color w:val="231F20"/>
                <w:spacing w:val="-5"/>
                <w:sz w:val="27"/>
              </w:rPr>
              <w:t>SD</w:t>
            </w:r>
          </w:p>
        </w:tc>
        <w:tc>
          <w:tcPr>
            <w:tcW w:w="2757" w:type="dxa"/>
          </w:tcPr>
          <w:p>
            <w:pPr>
              <w:pStyle w:val="TableParagraph"/>
              <w:spacing w:before="136"/>
              <w:ind w:left="4"/>
              <w:rPr>
                <w:sz w:val="27"/>
              </w:rPr>
            </w:pPr>
            <w:r>
              <w:rPr>
                <w:color w:val="231F20"/>
                <w:sz w:val="27"/>
              </w:rPr>
              <w:t>p-</w:t>
            </w:r>
            <w:r>
              <w:rPr>
                <w:color w:val="231F20"/>
                <w:spacing w:val="-2"/>
                <w:sz w:val="27"/>
              </w:rPr>
              <w:t>values</w:t>
            </w:r>
          </w:p>
        </w:tc>
      </w:tr>
      <w:tr>
        <w:trPr>
          <w:trHeight w:val="563" w:hRule="atLeast"/>
        </w:trPr>
        <w:tc>
          <w:tcPr>
            <w:tcW w:w="3096" w:type="dxa"/>
          </w:tcPr>
          <w:p>
            <w:pPr>
              <w:pStyle w:val="TableParagraph"/>
              <w:spacing w:before="137"/>
              <w:ind w:left="211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Age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10"/>
                <w:w w:val="105"/>
                <w:sz w:val="27"/>
              </w:rPr>
              <w:t>*</w:t>
            </w:r>
          </w:p>
        </w:tc>
        <w:tc>
          <w:tcPr>
            <w:tcW w:w="1119" w:type="dxa"/>
          </w:tcPr>
          <w:p>
            <w:pPr>
              <w:pStyle w:val="TableParagraph"/>
              <w:spacing w:before="137"/>
              <w:ind w:left="54"/>
              <w:rPr>
                <w:sz w:val="27"/>
              </w:rPr>
            </w:pPr>
            <w:r>
              <w:rPr>
                <w:color w:val="231F20"/>
                <w:spacing w:val="-5"/>
                <w:w w:val="105"/>
                <w:sz w:val="27"/>
              </w:rPr>
              <w:t>60</w:t>
            </w:r>
          </w:p>
        </w:tc>
        <w:tc>
          <w:tcPr>
            <w:tcW w:w="1136" w:type="dxa"/>
          </w:tcPr>
          <w:p>
            <w:pPr>
              <w:pStyle w:val="TableParagraph"/>
              <w:spacing w:before="137"/>
              <w:ind w:left="9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7.62</w:t>
            </w:r>
          </w:p>
        </w:tc>
        <w:tc>
          <w:tcPr>
            <w:tcW w:w="1121" w:type="dxa"/>
          </w:tcPr>
          <w:p>
            <w:pPr>
              <w:pStyle w:val="TableParagraph"/>
              <w:spacing w:before="137"/>
              <w:ind w:left="13" w:right="1"/>
              <w:rPr>
                <w:sz w:val="27"/>
              </w:rPr>
            </w:pPr>
            <w:r>
              <w:rPr>
                <w:color w:val="231F20"/>
                <w:spacing w:val="-5"/>
                <w:w w:val="105"/>
                <w:sz w:val="27"/>
              </w:rPr>
              <w:t>68</w:t>
            </w:r>
          </w:p>
        </w:tc>
        <w:tc>
          <w:tcPr>
            <w:tcW w:w="1125" w:type="dxa"/>
          </w:tcPr>
          <w:p>
            <w:pPr>
              <w:pStyle w:val="TableParagraph"/>
              <w:spacing w:before="137"/>
              <w:ind w:left="0" w:right="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8.77</w:t>
            </w:r>
          </w:p>
        </w:tc>
        <w:tc>
          <w:tcPr>
            <w:tcW w:w="2757" w:type="dxa"/>
          </w:tcPr>
          <w:p>
            <w:pPr>
              <w:pStyle w:val="TableParagraph"/>
              <w:spacing w:before="137"/>
              <w:ind w:left="4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p</w:t>
            </w:r>
            <w:r>
              <w:rPr>
                <w:color w:val="231F20"/>
                <w:spacing w:val="-19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&lt;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2"/>
                <w:w w:val="105"/>
                <w:sz w:val="27"/>
              </w:rPr>
              <w:t>0.001</w:t>
            </w:r>
          </w:p>
        </w:tc>
      </w:tr>
      <w:tr>
        <w:trPr>
          <w:trHeight w:val="544" w:hRule="atLeast"/>
        </w:trPr>
        <w:tc>
          <w:tcPr>
            <w:tcW w:w="3096" w:type="dxa"/>
          </w:tcPr>
          <w:p>
            <w:pPr>
              <w:pStyle w:val="TableParagraph"/>
              <w:ind w:left="211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Body</w:t>
            </w:r>
            <w:r>
              <w:rPr>
                <w:color w:val="231F20"/>
                <w:spacing w:val="6"/>
                <w:sz w:val="27"/>
              </w:rPr>
              <w:t> </w:t>
            </w:r>
            <w:r>
              <w:rPr>
                <w:color w:val="231F20"/>
                <w:sz w:val="27"/>
              </w:rPr>
              <w:t>Mass</w:t>
            </w:r>
            <w:r>
              <w:rPr>
                <w:color w:val="231F20"/>
                <w:spacing w:val="7"/>
                <w:sz w:val="27"/>
              </w:rPr>
              <w:t> </w:t>
            </w:r>
            <w:r>
              <w:rPr>
                <w:color w:val="231F20"/>
                <w:spacing w:val="-4"/>
                <w:sz w:val="27"/>
              </w:rPr>
              <w:t>Index</w:t>
            </w:r>
          </w:p>
        </w:tc>
        <w:tc>
          <w:tcPr>
            <w:tcW w:w="1119" w:type="dxa"/>
          </w:tcPr>
          <w:p>
            <w:pPr>
              <w:pStyle w:val="TableParagraph"/>
              <w:ind w:left="5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28.9</w:t>
            </w:r>
          </w:p>
        </w:tc>
        <w:tc>
          <w:tcPr>
            <w:tcW w:w="1136" w:type="dxa"/>
          </w:tcPr>
          <w:p>
            <w:pPr>
              <w:pStyle w:val="TableParagraph"/>
              <w:ind w:left="9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7.30</w:t>
            </w:r>
          </w:p>
        </w:tc>
        <w:tc>
          <w:tcPr>
            <w:tcW w:w="1121" w:type="dxa"/>
          </w:tcPr>
          <w:p>
            <w:pPr>
              <w:pStyle w:val="TableParagraph"/>
              <w:ind w:left="13" w:right="1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26.9</w:t>
            </w:r>
          </w:p>
        </w:tc>
        <w:tc>
          <w:tcPr>
            <w:tcW w:w="1125" w:type="dxa"/>
          </w:tcPr>
          <w:p>
            <w:pPr>
              <w:pStyle w:val="TableParagraph"/>
              <w:ind w:left="0" w:right="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4.87</w:t>
            </w:r>
          </w:p>
        </w:tc>
        <w:tc>
          <w:tcPr>
            <w:tcW w:w="2757" w:type="dxa"/>
          </w:tcPr>
          <w:p>
            <w:pPr>
              <w:pStyle w:val="TableParagraph"/>
              <w:ind w:left="4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p</w:t>
            </w:r>
            <w:r>
              <w:rPr>
                <w:color w:val="231F20"/>
                <w:spacing w:val="-19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=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2"/>
                <w:w w:val="105"/>
                <w:sz w:val="27"/>
              </w:rPr>
              <w:t>0.061</w:t>
            </w:r>
          </w:p>
        </w:tc>
      </w:tr>
      <w:tr>
        <w:trPr>
          <w:trHeight w:val="525" w:hRule="atLeast"/>
        </w:trPr>
        <w:tc>
          <w:tcPr>
            <w:tcW w:w="3096" w:type="dxa"/>
          </w:tcPr>
          <w:p>
            <w:pPr>
              <w:pStyle w:val="TableParagraph"/>
              <w:spacing w:before="99"/>
              <w:ind w:left="211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Number</w:t>
            </w:r>
            <w:r>
              <w:rPr>
                <w:color w:val="231F20"/>
                <w:spacing w:val="-9"/>
                <w:sz w:val="27"/>
              </w:rPr>
              <w:t> </w:t>
            </w:r>
            <w:r>
              <w:rPr>
                <w:color w:val="231F20"/>
                <w:sz w:val="27"/>
              </w:rPr>
              <w:t>of</w:t>
            </w:r>
            <w:r>
              <w:rPr>
                <w:color w:val="231F20"/>
                <w:spacing w:val="-9"/>
                <w:sz w:val="27"/>
              </w:rPr>
              <w:t> </w:t>
            </w:r>
            <w:r>
              <w:rPr>
                <w:color w:val="231F20"/>
                <w:spacing w:val="-2"/>
                <w:sz w:val="27"/>
              </w:rPr>
              <w:t>Medications</w:t>
            </w:r>
          </w:p>
        </w:tc>
        <w:tc>
          <w:tcPr>
            <w:tcW w:w="1119" w:type="dxa"/>
          </w:tcPr>
          <w:p>
            <w:pPr>
              <w:pStyle w:val="TableParagraph"/>
              <w:spacing w:before="99"/>
              <w:ind w:left="54"/>
              <w:rPr>
                <w:sz w:val="27"/>
              </w:rPr>
            </w:pPr>
            <w:r>
              <w:rPr>
                <w:color w:val="231F20"/>
                <w:spacing w:val="-10"/>
                <w:w w:val="105"/>
                <w:sz w:val="27"/>
              </w:rPr>
              <w:t>6</w:t>
            </w:r>
          </w:p>
        </w:tc>
        <w:tc>
          <w:tcPr>
            <w:tcW w:w="1136" w:type="dxa"/>
          </w:tcPr>
          <w:p>
            <w:pPr>
              <w:pStyle w:val="TableParagraph"/>
              <w:spacing w:before="99"/>
              <w:ind w:left="9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3.95</w:t>
            </w:r>
          </w:p>
        </w:tc>
        <w:tc>
          <w:tcPr>
            <w:tcW w:w="1121" w:type="dxa"/>
          </w:tcPr>
          <w:p>
            <w:pPr>
              <w:pStyle w:val="TableParagraph"/>
              <w:spacing w:before="99"/>
              <w:ind w:left="13" w:right="1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4.07</w:t>
            </w:r>
          </w:p>
        </w:tc>
        <w:tc>
          <w:tcPr>
            <w:tcW w:w="1125" w:type="dxa"/>
          </w:tcPr>
          <w:p>
            <w:pPr>
              <w:pStyle w:val="TableParagraph"/>
              <w:spacing w:before="99"/>
              <w:ind w:left="0" w:right="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3.69</w:t>
            </w:r>
          </w:p>
        </w:tc>
        <w:tc>
          <w:tcPr>
            <w:tcW w:w="2757" w:type="dxa"/>
          </w:tcPr>
          <w:p>
            <w:pPr>
              <w:pStyle w:val="TableParagraph"/>
              <w:spacing w:before="99"/>
              <w:ind w:left="4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p</w:t>
            </w:r>
            <w:r>
              <w:rPr>
                <w:color w:val="231F20"/>
                <w:spacing w:val="-19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=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2"/>
                <w:w w:val="105"/>
                <w:sz w:val="27"/>
              </w:rPr>
              <w:t>0.641</w:t>
            </w:r>
          </w:p>
        </w:tc>
      </w:tr>
      <w:tr>
        <w:trPr>
          <w:trHeight w:val="544" w:hRule="atLeast"/>
        </w:trPr>
        <w:tc>
          <w:tcPr>
            <w:tcW w:w="3096" w:type="dxa"/>
          </w:tcPr>
          <w:p>
            <w:pPr>
              <w:pStyle w:val="TableParagraph"/>
              <w:ind w:left="211"/>
              <w:jc w:val="left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Mini-Mental</w:t>
            </w:r>
            <w:r>
              <w:rPr>
                <w:color w:val="231F20"/>
                <w:spacing w:val="-11"/>
                <w:w w:val="105"/>
                <w:sz w:val="27"/>
              </w:rPr>
              <w:t> </w:t>
            </w:r>
            <w:r>
              <w:rPr>
                <w:color w:val="231F20"/>
                <w:spacing w:val="-4"/>
                <w:w w:val="105"/>
                <w:sz w:val="27"/>
              </w:rPr>
              <w:t>Exam</w:t>
            </w:r>
          </w:p>
        </w:tc>
        <w:tc>
          <w:tcPr>
            <w:tcW w:w="1119" w:type="dxa"/>
          </w:tcPr>
          <w:p>
            <w:pPr>
              <w:pStyle w:val="TableParagraph"/>
              <w:ind w:left="54"/>
              <w:rPr>
                <w:sz w:val="27"/>
              </w:rPr>
            </w:pPr>
            <w:r>
              <w:rPr>
                <w:color w:val="231F20"/>
                <w:spacing w:val="-5"/>
                <w:w w:val="105"/>
                <w:sz w:val="27"/>
              </w:rPr>
              <w:t>29</w:t>
            </w:r>
          </w:p>
        </w:tc>
        <w:tc>
          <w:tcPr>
            <w:tcW w:w="1136" w:type="dxa"/>
          </w:tcPr>
          <w:p>
            <w:pPr>
              <w:pStyle w:val="TableParagraph"/>
              <w:ind w:left="9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1.53</w:t>
            </w:r>
          </w:p>
        </w:tc>
        <w:tc>
          <w:tcPr>
            <w:tcW w:w="1121" w:type="dxa"/>
          </w:tcPr>
          <w:p>
            <w:pPr>
              <w:pStyle w:val="TableParagraph"/>
              <w:ind w:left="13" w:right="1"/>
              <w:rPr>
                <w:sz w:val="27"/>
              </w:rPr>
            </w:pPr>
            <w:r>
              <w:rPr>
                <w:color w:val="231F20"/>
                <w:spacing w:val="-5"/>
                <w:w w:val="105"/>
                <w:sz w:val="27"/>
              </w:rPr>
              <w:t>29</w:t>
            </w:r>
          </w:p>
        </w:tc>
        <w:tc>
          <w:tcPr>
            <w:tcW w:w="1125" w:type="dxa"/>
          </w:tcPr>
          <w:p>
            <w:pPr>
              <w:pStyle w:val="TableParagraph"/>
              <w:ind w:left="0" w:right="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1.58</w:t>
            </w:r>
          </w:p>
        </w:tc>
        <w:tc>
          <w:tcPr>
            <w:tcW w:w="2757" w:type="dxa"/>
          </w:tcPr>
          <w:p>
            <w:pPr>
              <w:pStyle w:val="TableParagraph"/>
              <w:ind w:left="4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p</w:t>
            </w:r>
            <w:r>
              <w:rPr>
                <w:color w:val="231F20"/>
                <w:spacing w:val="-19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=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2"/>
                <w:w w:val="105"/>
                <w:sz w:val="27"/>
              </w:rPr>
              <w:t>0.894</w:t>
            </w:r>
          </w:p>
        </w:tc>
      </w:tr>
      <w:tr>
        <w:trPr>
          <w:trHeight w:val="525" w:hRule="atLeast"/>
        </w:trPr>
        <w:tc>
          <w:tcPr>
            <w:tcW w:w="3096" w:type="dxa"/>
          </w:tcPr>
          <w:p>
            <w:pPr>
              <w:pStyle w:val="TableParagraph"/>
              <w:spacing w:before="99"/>
              <w:ind w:left="211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Number</w:t>
            </w:r>
            <w:r>
              <w:rPr>
                <w:color w:val="231F20"/>
                <w:spacing w:val="-6"/>
                <w:sz w:val="27"/>
              </w:rPr>
              <w:t> </w:t>
            </w:r>
            <w:r>
              <w:rPr>
                <w:color w:val="231F20"/>
                <w:sz w:val="27"/>
              </w:rPr>
              <w:t>of</w:t>
            </w:r>
            <w:r>
              <w:rPr>
                <w:color w:val="231F20"/>
                <w:spacing w:val="-5"/>
                <w:sz w:val="27"/>
              </w:rPr>
              <w:t> </w:t>
            </w:r>
            <w:r>
              <w:rPr>
                <w:color w:val="231F20"/>
                <w:sz w:val="27"/>
              </w:rPr>
              <w:t>Falls</w:t>
            </w:r>
            <w:r>
              <w:rPr>
                <w:color w:val="231F20"/>
                <w:spacing w:val="-5"/>
                <w:sz w:val="27"/>
              </w:rPr>
              <w:t> </w:t>
            </w:r>
            <w:r>
              <w:rPr>
                <w:color w:val="231F20"/>
                <w:spacing w:val="-10"/>
                <w:sz w:val="27"/>
              </w:rPr>
              <w:t>*</w:t>
            </w:r>
          </w:p>
        </w:tc>
        <w:tc>
          <w:tcPr>
            <w:tcW w:w="1119" w:type="dxa"/>
          </w:tcPr>
          <w:p>
            <w:pPr>
              <w:pStyle w:val="TableParagraph"/>
              <w:spacing w:before="99"/>
              <w:ind w:left="54"/>
              <w:rPr>
                <w:sz w:val="27"/>
              </w:rPr>
            </w:pPr>
            <w:r>
              <w:rPr>
                <w:color w:val="231F20"/>
                <w:spacing w:val="-5"/>
                <w:sz w:val="27"/>
              </w:rPr>
              <w:t>1.8</w:t>
            </w:r>
          </w:p>
        </w:tc>
        <w:tc>
          <w:tcPr>
            <w:tcW w:w="1136" w:type="dxa"/>
          </w:tcPr>
          <w:p>
            <w:pPr>
              <w:pStyle w:val="TableParagraph"/>
              <w:spacing w:before="99"/>
              <w:ind w:left="9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1.42</w:t>
            </w:r>
          </w:p>
        </w:tc>
        <w:tc>
          <w:tcPr>
            <w:tcW w:w="1121" w:type="dxa"/>
          </w:tcPr>
          <w:p>
            <w:pPr>
              <w:pStyle w:val="TableParagraph"/>
              <w:spacing w:before="99"/>
              <w:ind w:left="13"/>
              <w:rPr>
                <w:sz w:val="27"/>
              </w:rPr>
            </w:pPr>
            <w:r>
              <w:rPr>
                <w:color w:val="231F20"/>
                <w:spacing w:val="-5"/>
                <w:sz w:val="27"/>
              </w:rPr>
              <w:t>1.7</w:t>
            </w:r>
          </w:p>
        </w:tc>
        <w:tc>
          <w:tcPr>
            <w:tcW w:w="1125" w:type="dxa"/>
          </w:tcPr>
          <w:p>
            <w:pPr>
              <w:pStyle w:val="TableParagraph"/>
              <w:spacing w:before="99"/>
              <w:ind w:left="0" w:right="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1.05</w:t>
            </w:r>
          </w:p>
        </w:tc>
        <w:tc>
          <w:tcPr>
            <w:tcW w:w="2757" w:type="dxa"/>
          </w:tcPr>
          <w:p>
            <w:pPr>
              <w:pStyle w:val="TableParagraph"/>
              <w:spacing w:before="99"/>
              <w:ind w:left="4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p</w:t>
            </w:r>
            <w:r>
              <w:rPr>
                <w:color w:val="231F20"/>
                <w:spacing w:val="-19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=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2"/>
                <w:w w:val="105"/>
                <w:sz w:val="27"/>
              </w:rPr>
              <w:t>0.002</w:t>
            </w:r>
          </w:p>
        </w:tc>
      </w:tr>
      <w:tr>
        <w:trPr>
          <w:trHeight w:val="525" w:hRule="atLeast"/>
        </w:trPr>
        <w:tc>
          <w:tcPr>
            <w:tcW w:w="3096" w:type="dxa"/>
          </w:tcPr>
          <w:p>
            <w:pPr>
              <w:pStyle w:val="TableParagraph"/>
              <w:ind w:left="211"/>
              <w:jc w:val="left"/>
              <w:rPr>
                <w:sz w:val="27"/>
              </w:rPr>
            </w:pPr>
            <w:r>
              <w:rPr>
                <w:color w:val="231F20"/>
                <w:sz w:val="27"/>
              </w:rPr>
              <w:t>Total</w:t>
            </w:r>
            <w:r>
              <w:rPr>
                <w:color w:val="231F20"/>
                <w:spacing w:val="-19"/>
                <w:sz w:val="27"/>
              </w:rPr>
              <w:t> </w:t>
            </w:r>
            <w:r>
              <w:rPr>
                <w:color w:val="231F20"/>
                <w:sz w:val="27"/>
              </w:rPr>
              <w:t>FAB</w:t>
            </w:r>
            <w:r>
              <w:rPr>
                <w:color w:val="231F20"/>
                <w:spacing w:val="-19"/>
                <w:sz w:val="27"/>
              </w:rPr>
              <w:t> </w:t>
            </w:r>
            <w:r>
              <w:rPr>
                <w:color w:val="231F20"/>
                <w:sz w:val="27"/>
              </w:rPr>
              <w:t>Scale</w:t>
            </w:r>
            <w:r>
              <w:rPr>
                <w:color w:val="231F20"/>
                <w:spacing w:val="19"/>
                <w:sz w:val="27"/>
              </w:rPr>
              <w:t> </w:t>
            </w:r>
            <w:r>
              <w:rPr>
                <w:color w:val="231F20"/>
                <w:spacing w:val="-2"/>
                <w:sz w:val="27"/>
              </w:rPr>
              <w:t>Score*</w:t>
            </w:r>
          </w:p>
        </w:tc>
        <w:tc>
          <w:tcPr>
            <w:tcW w:w="1119" w:type="dxa"/>
          </w:tcPr>
          <w:p>
            <w:pPr>
              <w:pStyle w:val="TableParagraph"/>
              <w:ind w:left="54"/>
              <w:rPr>
                <w:sz w:val="27"/>
              </w:rPr>
            </w:pPr>
            <w:r>
              <w:rPr>
                <w:color w:val="231F20"/>
                <w:spacing w:val="-5"/>
                <w:w w:val="105"/>
                <w:sz w:val="27"/>
              </w:rPr>
              <w:t>32</w:t>
            </w:r>
          </w:p>
        </w:tc>
        <w:tc>
          <w:tcPr>
            <w:tcW w:w="1136" w:type="dxa"/>
          </w:tcPr>
          <w:p>
            <w:pPr>
              <w:pStyle w:val="TableParagraph"/>
              <w:ind w:left="9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6.34</w:t>
            </w:r>
          </w:p>
        </w:tc>
        <w:tc>
          <w:tcPr>
            <w:tcW w:w="1121" w:type="dxa"/>
          </w:tcPr>
          <w:p>
            <w:pPr>
              <w:pStyle w:val="TableParagraph"/>
              <w:ind w:left="13" w:right="1"/>
              <w:rPr>
                <w:sz w:val="27"/>
              </w:rPr>
            </w:pPr>
            <w:r>
              <w:rPr>
                <w:color w:val="231F20"/>
                <w:spacing w:val="-5"/>
                <w:w w:val="105"/>
                <w:sz w:val="27"/>
              </w:rPr>
              <w:t>34</w:t>
            </w:r>
          </w:p>
        </w:tc>
        <w:tc>
          <w:tcPr>
            <w:tcW w:w="1125" w:type="dxa"/>
          </w:tcPr>
          <w:p>
            <w:pPr>
              <w:pStyle w:val="TableParagraph"/>
              <w:ind w:left="0" w:right="4"/>
              <w:rPr>
                <w:sz w:val="27"/>
              </w:rPr>
            </w:pPr>
            <w:r>
              <w:rPr>
                <w:color w:val="231F20"/>
                <w:spacing w:val="-4"/>
                <w:sz w:val="27"/>
              </w:rPr>
              <w:t>4.65</w:t>
            </w:r>
          </w:p>
        </w:tc>
        <w:tc>
          <w:tcPr>
            <w:tcW w:w="2757" w:type="dxa"/>
          </w:tcPr>
          <w:p>
            <w:pPr>
              <w:pStyle w:val="TableParagraph"/>
              <w:ind w:left="4"/>
              <w:rPr>
                <w:sz w:val="27"/>
              </w:rPr>
            </w:pPr>
            <w:r>
              <w:rPr>
                <w:color w:val="231F20"/>
                <w:w w:val="105"/>
                <w:sz w:val="27"/>
              </w:rPr>
              <w:t>p</w:t>
            </w:r>
            <w:r>
              <w:rPr>
                <w:color w:val="231F20"/>
                <w:spacing w:val="-19"/>
                <w:w w:val="105"/>
                <w:sz w:val="27"/>
              </w:rPr>
              <w:t> </w:t>
            </w:r>
            <w:r>
              <w:rPr>
                <w:color w:val="231F20"/>
                <w:w w:val="105"/>
                <w:sz w:val="27"/>
              </w:rPr>
              <w:t>=</w:t>
            </w:r>
            <w:r>
              <w:rPr>
                <w:color w:val="231F20"/>
                <w:spacing w:val="-18"/>
                <w:w w:val="105"/>
                <w:sz w:val="27"/>
              </w:rPr>
              <w:t> </w:t>
            </w:r>
            <w:r>
              <w:rPr>
                <w:color w:val="231F20"/>
                <w:spacing w:val="-2"/>
                <w:w w:val="105"/>
                <w:sz w:val="27"/>
              </w:rPr>
              <w:t>0.015</w:t>
            </w:r>
          </w:p>
        </w:tc>
      </w:tr>
    </w:tbl>
    <w:p>
      <w:pPr>
        <w:pStyle w:val="BodyText"/>
        <w:spacing w:before="159"/>
        <w:ind w:left="395"/>
        <w:rPr>
          <w:rFonts w:ascii="Gill Sans MT"/>
        </w:rPr>
      </w:pPr>
      <w:r>
        <w:rPr>
          <w:rFonts w:ascii="Gill Sans MT"/>
          <w:color w:val="231F20"/>
          <w:w w:val="105"/>
        </w:rPr>
        <w:t>*</w:t>
      </w:r>
      <w:r>
        <w:rPr>
          <w:rFonts w:ascii="Gill Sans MT"/>
          <w:color w:val="231F20"/>
          <w:spacing w:val="-6"/>
          <w:w w:val="105"/>
        </w:rPr>
        <w:t> </w:t>
      </w:r>
      <w:r>
        <w:rPr>
          <w:rFonts w:ascii="Gill Sans MT"/>
          <w:color w:val="231F20"/>
          <w:w w:val="105"/>
        </w:rPr>
        <w:t>Statistically</w:t>
      </w:r>
      <w:r>
        <w:rPr>
          <w:rFonts w:ascii="Gill Sans MT"/>
          <w:color w:val="231F20"/>
          <w:spacing w:val="-5"/>
          <w:w w:val="105"/>
        </w:rPr>
        <w:t> </w:t>
      </w:r>
      <w:r>
        <w:rPr>
          <w:rFonts w:ascii="Gill Sans MT"/>
          <w:color w:val="231F20"/>
          <w:w w:val="105"/>
        </w:rPr>
        <w:t>significant</w:t>
      </w:r>
      <w:r>
        <w:rPr>
          <w:rFonts w:ascii="Gill Sans MT"/>
          <w:color w:val="231F20"/>
          <w:spacing w:val="-6"/>
          <w:w w:val="105"/>
        </w:rPr>
        <w:t> </w:t>
      </w:r>
      <w:r>
        <w:rPr>
          <w:rFonts w:ascii="Gill Sans MT"/>
          <w:color w:val="231F20"/>
          <w:w w:val="105"/>
        </w:rPr>
        <w:t>F</w:t>
      </w:r>
      <w:r>
        <w:rPr>
          <w:rFonts w:ascii="Gill Sans MT"/>
          <w:color w:val="231F20"/>
          <w:spacing w:val="-5"/>
          <w:w w:val="105"/>
        </w:rPr>
        <w:t> </w:t>
      </w:r>
      <w:r>
        <w:rPr>
          <w:rFonts w:ascii="Gill Sans MT"/>
          <w:color w:val="231F20"/>
          <w:spacing w:val="-2"/>
          <w:w w:val="105"/>
        </w:rPr>
        <w:t>values</w:t>
      </w:r>
    </w:p>
    <w:p>
      <w:pPr>
        <w:pStyle w:val="BodyText"/>
        <w:spacing w:before="48"/>
        <w:rPr>
          <w:rFonts w:ascii="Gill Sans MT"/>
        </w:rPr>
      </w:pPr>
    </w:p>
    <w:p>
      <w:pPr>
        <w:pStyle w:val="Heading1"/>
      </w:pPr>
      <w:r>
        <w:rPr>
          <w:color w:val="00669A"/>
          <w:spacing w:val="-2"/>
        </w:rPr>
        <w:t>Results</w:t>
      </w:r>
    </w:p>
    <w:p>
      <w:pPr>
        <w:pStyle w:val="BodyText"/>
        <w:spacing w:line="249" w:lineRule="auto" w:before="231"/>
        <w:ind w:left="111" w:right="88"/>
      </w:pPr>
      <w:r>
        <w:rPr>
          <w:color w:val="231F20"/>
          <w:spacing w:val="-4"/>
        </w:rPr>
        <w:t>Demographic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information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indicated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significant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difference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Body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Index, number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medications,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mental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status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between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OAFM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OAH.</w:t>
      </w:r>
      <w:r>
        <w:rPr>
          <w:color w:val="231F20"/>
          <w:spacing w:val="15"/>
        </w:rPr>
        <w:t> </w:t>
      </w:r>
      <w:r>
        <w:rPr>
          <w:color w:val="231F20"/>
          <w:spacing w:val="-4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significant </w:t>
      </w:r>
      <w:r>
        <w:rPr>
          <w:color w:val="231F20"/>
          <w:w w:val="90"/>
        </w:rPr>
        <w:t>difference between groups for age, number of falls, and the total FAB scale score.</w:t>
      </w:r>
      <w:r>
        <w:rPr>
          <w:color w:val="231F20"/>
          <w:spacing w:val="40"/>
        </w:rPr>
        <w:t> </w:t>
      </w:r>
      <w:r>
        <w:rPr>
          <w:color w:val="231F20"/>
          <w:w w:val="90"/>
        </w:rPr>
        <w:t>A significant </w:t>
      </w:r>
      <w:r>
        <w:rPr>
          <w:color w:val="231F20"/>
          <w:spacing w:val="-6"/>
        </w:rPr>
        <w:t>group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difference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evident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combination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dependent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variables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(Pillai’s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(4,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138)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= 6.636,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&lt;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0.001)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analyzed.</w:t>
      </w:r>
      <w:r>
        <w:rPr>
          <w:color w:val="231F20"/>
          <w:spacing w:val="30"/>
        </w:rPr>
        <w:t> </w:t>
      </w:r>
      <w:r>
        <w:rPr>
          <w:color w:val="231F20"/>
          <w:spacing w:val="-6"/>
        </w:rPr>
        <w:t>Follow-up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univariate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analyses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further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indicated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groups </w:t>
      </w:r>
      <w:r>
        <w:rPr>
          <w:color w:val="231F20"/>
          <w:w w:val="90"/>
        </w:rPr>
        <w:t>differed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significantly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dimensions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static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balance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(F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(1,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141)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=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15.228,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  <w:u w:val="single" w:color="231F20"/>
        </w:rPr>
        <w:t>p</w:t>
      </w:r>
      <w:r>
        <w:rPr>
          <w:color w:val="231F20"/>
          <w:spacing w:val="-6"/>
          <w:w w:val="90"/>
          <w:u w:val="none"/>
        </w:rPr>
        <w:t> </w:t>
      </w:r>
      <w:r>
        <w:rPr>
          <w:color w:val="231F20"/>
          <w:w w:val="90"/>
          <w:u w:val="none"/>
        </w:rPr>
        <w:t>&lt;</w:t>
      </w:r>
      <w:r>
        <w:rPr>
          <w:color w:val="231F20"/>
          <w:spacing w:val="-6"/>
          <w:w w:val="90"/>
          <w:u w:val="none"/>
        </w:rPr>
        <w:t> </w:t>
      </w:r>
      <w:r>
        <w:rPr>
          <w:color w:val="231F20"/>
          <w:w w:val="90"/>
          <w:u w:val="none"/>
        </w:rPr>
        <w:t>0.001),</w:t>
      </w:r>
      <w:r>
        <w:rPr>
          <w:color w:val="231F20"/>
          <w:spacing w:val="-6"/>
          <w:w w:val="90"/>
          <w:u w:val="none"/>
        </w:rPr>
        <w:t> </w:t>
      </w:r>
      <w:r>
        <w:rPr>
          <w:color w:val="231F20"/>
          <w:w w:val="90"/>
          <w:u w:val="none"/>
        </w:rPr>
        <w:t>dynamic balance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(F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(1,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141)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=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19.279,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single" w:color="231F20"/>
        </w:rPr>
        <w:t>p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&lt;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0.001),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and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sensory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reception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and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integration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(F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(1,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141)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=</w:t>
      </w:r>
      <w:r>
        <w:rPr>
          <w:color w:val="231F20"/>
          <w:spacing w:val="-18"/>
          <w:w w:val="90"/>
          <w:u w:val="none"/>
        </w:rPr>
        <w:t> </w:t>
      </w:r>
      <w:r>
        <w:rPr>
          <w:color w:val="231F20"/>
          <w:w w:val="90"/>
          <w:u w:val="none"/>
        </w:rPr>
        <w:t>13.687, </w:t>
      </w:r>
      <w:r>
        <w:rPr>
          <w:color w:val="231F20"/>
          <w:spacing w:val="-8"/>
          <w:u w:val="single" w:color="231F20"/>
        </w:rPr>
        <w:t>p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&lt;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0.001)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with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the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OAFM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group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scoring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significantly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lower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on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each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of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these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balance</w:t>
      </w:r>
      <w:r>
        <w:rPr>
          <w:color w:val="231F20"/>
          <w:spacing w:val="-31"/>
          <w:u w:val="none"/>
        </w:rPr>
        <w:t> </w:t>
      </w:r>
      <w:r>
        <w:rPr>
          <w:color w:val="231F20"/>
          <w:spacing w:val="-8"/>
          <w:u w:val="none"/>
        </w:rPr>
        <w:t>dimensions. </w:t>
      </w:r>
      <w:r>
        <w:rPr>
          <w:color w:val="231F20"/>
          <w:spacing w:val="-6"/>
          <w:u w:val="none"/>
        </w:rPr>
        <w:t>No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significant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group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difference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was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evident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for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the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dimension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of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reactive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postural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control</w:t>
      </w:r>
      <w:r>
        <w:rPr>
          <w:color w:val="231F20"/>
          <w:spacing w:val="-19"/>
          <w:u w:val="none"/>
        </w:rPr>
        <w:t> </w:t>
      </w:r>
      <w:r>
        <w:rPr>
          <w:color w:val="231F20"/>
          <w:spacing w:val="-6"/>
          <w:u w:val="none"/>
        </w:rPr>
        <w:t>(F </w:t>
      </w:r>
      <w:r>
        <w:rPr>
          <w:color w:val="231F20"/>
          <w:spacing w:val="-4"/>
          <w:u w:val="none"/>
        </w:rPr>
        <w:t>(1,</w:t>
      </w:r>
      <w:r>
        <w:rPr>
          <w:color w:val="231F20"/>
          <w:spacing w:val="-24"/>
          <w:u w:val="none"/>
        </w:rPr>
        <w:t> </w:t>
      </w:r>
      <w:r>
        <w:rPr>
          <w:color w:val="231F20"/>
          <w:spacing w:val="-4"/>
          <w:u w:val="none"/>
        </w:rPr>
        <w:t>141)</w:t>
      </w:r>
      <w:r>
        <w:rPr>
          <w:color w:val="231F20"/>
          <w:spacing w:val="-24"/>
          <w:u w:val="none"/>
        </w:rPr>
        <w:t> </w:t>
      </w:r>
      <w:r>
        <w:rPr>
          <w:color w:val="231F20"/>
          <w:spacing w:val="-4"/>
          <w:u w:val="none"/>
        </w:rPr>
        <w:t>=</w:t>
      </w:r>
      <w:r>
        <w:rPr>
          <w:color w:val="231F20"/>
          <w:spacing w:val="-24"/>
          <w:u w:val="none"/>
        </w:rPr>
        <w:t> </w:t>
      </w:r>
      <w:r>
        <w:rPr>
          <w:color w:val="231F20"/>
          <w:spacing w:val="-4"/>
          <w:u w:val="none"/>
        </w:rPr>
        <w:t>2.265,</w:t>
      </w:r>
      <w:r>
        <w:rPr>
          <w:color w:val="231F20"/>
          <w:spacing w:val="-24"/>
          <w:u w:val="none"/>
        </w:rPr>
        <w:t> </w:t>
      </w:r>
      <w:r>
        <w:rPr>
          <w:color w:val="231F20"/>
          <w:spacing w:val="-4"/>
          <w:u w:val="single" w:color="231F20"/>
        </w:rPr>
        <w:t>p</w:t>
      </w:r>
      <w:r>
        <w:rPr>
          <w:color w:val="231F20"/>
          <w:spacing w:val="-24"/>
          <w:u w:val="none"/>
        </w:rPr>
        <w:t> </w:t>
      </w:r>
      <w:r>
        <w:rPr>
          <w:color w:val="231F20"/>
          <w:spacing w:val="-4"/>
          <w:u w:val="none"/>
        </w:rPr>
        <w:t>=</w:t>
      </w:r>
      <w:r>
        <w:rPr>
          <w:color w:val="231F20"/>
          <w:spacing w:val="-24"/>
          <w:u w:val="none"/>
        </w:rPr>
        <w:t> </w:t>
      </w:r>
      <w:r>
        <w:rPr>
          <w:color w:val="231F20"/>
          <w:spacing w:val="-4"/>
          <w:u w:val="none"/>
        </w:rPr>
        <w:t>0.135).</w:t>
      </w:r>
    </w:p>
    <w:p>
      <w:pPr>
        <w:pStyle w:val="BodyText"/>
        <w:spacing w:before="111"/>
      </w:pPr>
    </w:p>
    <w:p>
      <w:pPr>
        <w:pStyle w:val="Heading1"/>
      </w:pPr>
      <w:r>
        <w:rPr>
          <w:color w:val="00669A"/>
          <w:spacing w:val="-2"/>
        </w:rPr>
        <w:t>Discussion</w:t>
      </w:r>
    </w:p>
    <w:p>
      <w:pPr>
        <w:pStyle w:val="BodyText"/>
        <w:spacing w:line="249" w:lineRule="auto" w:before="231"/>
        <w:ind w:left="111"/>
      </w:pPr>
      <w:r>
        <w:rPr>
          <w:color w:val="231F20"/>
          <w:spacing w:val="-6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results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study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confirm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previously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published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self-report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findings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suggest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the balance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problems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identified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result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from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impairments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both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sensory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motor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systems. </w:t>
      </w:r>
      <w:r>
        <w:rPr>
          <w:color w:val="231F20"/>
        </w:rPr>
        <w:t>These</w:t>
      </w:r>
      <w:r>
        <w:rPr>
          <w:color w:val="231F20"/>
          <w:spacing w:val="-20"/>
        </w:rPr>
        <w:t> </w:t>
      </w:r>
      <w:r>
        <w:rPr>
          <w:color w:val="231F20"/>
        </w:rPr>
        <w:t>results</w:t>
      </w:r>
      <w:r>
        <w:rPr>
          <w:color w:val="231F20"/>
          <w:spacing w:val="-20"/>
        </w:rPr>
        <w:t> </w:t>
      </w:r>
      <w:r>
        <w:rPr>
          <w:color w:val="231F20"/>
        </w:rPr>
        <w:t>are</w:t>
      </w:r>
      <w:r>
        <w:rPr>
          <w:color w:val="231F20"/>
          <w:spacing w:val="-20"/>
        </w:rPr>
        <w:t> </w:t>
      </w:r>
      <w:r>
        <w:rPr>
          <w:color w:val="231F20"/>
        </w:rPr>
        <w:t>similar</w:t>
      </w:r>
      <w:r>
        <w:rPr>
          <w:color w:val="231F20"/>
          <w:spacing w:val="-20"/>
        </w:rPr>
        <w:t> </w:t>
      </w:r>
      <w:r>
        <w:rPr>
          <w:color w:val="231F20"/>
        </w:rPr>
        <w:t>to</w:t>
      </w:r>
      <w:r>
        <w:rPr>
          <w:color w:val="231F20"/>
          <w:spacing w:val="-20"/>
        </w:rPr>
        <w:t> </w:t>
      </w:r>
      <w:r>
        <w:rPr>
          <w:color w:val="231F20"/>
        </w:rPr>
        <w:t>those</w:t>
      </w:r>
      <w:r>
        <w:rPr>
          <w:color w:val="231F20"/>
          <w:spacing w:val="-20"/>
        </w:rPr>
        <w:t> </w:t>
      </w:r>
      <w:r>
        <w:rPr>
          <w:color w:val="231F20"/>
        </w:rPr>
        <w:t>found</w:t>
      </w:r>
      <w:r>
        <w:rPr>
          <w:color w:val="231F20"/>
          <w:spacing w:val="-20"/>
        </w:rPr>
        <w:t> </w:t>
      </w:r>
      <w:r>
        <w:rPr>
          <w:color w:val="231F20"/>
        </w:rPr>
        <w:t>by</w:t>
      </w:r>
      <w:r>
        <w:rPr>
          <w:color w:val="231F20"/>
          <w:spacing w:val="-20"/>
        </w:rPr>
        <w:t> </w:t>
      </w:r>
      <w:r>
        <w:rPr>
          <w:color w:val="231F20"/>
        </w:rPr>
        <w:t>Jones</w:t>
      </w:r>
      <w:r>
        <w:rPr>
          <w:color w:val="231F20"/>
          <w:spacing w:val="-20"/>
        </w:rPr>
        <w:t> </w:t>
      </w:r>
      <w:r>
        <w:rPr>
          <w:color w:val="231F20"/>
        </w:rPr>
        <w:t>and</w:t>
      </w:r>
      <w:r>
        <w:rPr>
          <w:color w:val="231F20"/>
          <w:spacing w:val="-20"/>
        </w:rPr>
        <w:t> </w:t>
      </w:r>
      <w:r>
        <w:rPr>
          <w:color w:val="231F20"/>
        </w:rPr>
        <w:t>colleagues</w:t>
      </w:r>
      <w:r>
        <w:rPr>
          <w:color w:val="231F20"/>
          <w:spacing w:val="-20"/>
        </w:rPr>
        <w:t> </w:t>
      </w:r>
      <w:r>
        <w:rPr>
          <w:color w:val="231F20"/>
        </w:rPr>
        <w:t>[4]</w:t>
      </w:r>
      <w:r>
        <w:rPr>
          <w:color w:val="231F20"/>
          <w:spacing w:val="-20"/>
        </w:rPr>
        <w:t> </w:t>
      </w:r>
      <w:r>
        <w:rPr>
          <w:color w:val="231F20"/>
        </w:rPr>
        <w:t>who</w:t>
      </w:r>
      <w:r>
        <w:rPr>
          <w:color w:val="231F20"/>
          <w:spacing w:val="-20"/>
        </w:rPr>
        <w:t> </w:t>
      </w:r>
      <w:r>
        <w:rPr>
          <w:color w:val="231F20"/>
        </w:rPr>
        <w:t>compared</w:t>
      </w:r>
      <w:r>
        <w:rPr>
          <w:color w:val="231F20"/>
          <w:spacing w:val="-20"/>
        </w:rPr>
        <w:t> </w:t>
      </w:r>
      <w:r>
        <w:rPr>
          <w:color w:val="231F20"/>
        </w:rPr>
        <w:t>the </w:t>
      </w:r>
      <w:r>
        <w:rPr>
          <w:color w:val="231F20"/>
          <w:spacing w:val="-8"/>
        </w:rPr>
        <w:t>performance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patients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with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FM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(mean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age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=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47,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SD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=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10.88)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age-matched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healthy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controls </w:t>
      </w:r>
      <w:r>
        <w:rPr>
          <w:color w:val="231F20"/>
          <w:spacing w:val="-2"/>
        </w:rPr>
        <w:t>using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BESTest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[5].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Patients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FM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performed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significantly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worse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five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subsystem </w:t>
      </w:r>
      <w:r>
        <w:rPr>
          <w:color w:val="231F20"/>
          <w:w w:val="90"/>
        </w:rPr>
        <w:t>categories (e.g., stability limits, anticipatory postural adjustment, reactive postural response, </w:t>
      </w:r>
      <w:r>
        <w:rPr>
          <w:color w:val="231F20"/>
          <w:spacing w:val="-8"/>
        </w:rPr>
        <w:t>sensory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orientation,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stability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gait).</w:t>
      </w:r>
      <w:r>
        <w:rPr>
          <w:color w:val="231F20"/>
          <w:spacing w:val="34"/>
        </w:rPr>
        <w:t> </w:t>
      </w:r>
      <w:r>
        <w:rPr>
          <w:color w:val="231F20"/>
          <w:spacing w:val="-8"/>
        </w:rPr>
        <w:t>Although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no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significant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differences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were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observed</w:t>
      </w:r>
      <w:r>
        <w:rPr>
          <w:color w:val="231F20"/>
          <w:spacing w:val="-25"/>
        </w:rPr>
        <w:t> </w:t>
      </w:r>
      <w:r>
        <w:rPr>
          <w:color w:val="231F20"/>
          <w:spacing w:val="-8"/>
        </w:rPr>
        <w:t>in </w:t>
      </w:r>
      <w:r>
        <w:rPr>
          <w:color w:val="231F20"/>
          <w:spacing w:val="-6"/>
        </w:rPr>
        <w:t>reactive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postural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control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abilities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present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study,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possibly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due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differences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 </w:t>
      </w:r>
      <w:r>
        <w:rPr>
          <w:color w:val="231F20"/>
          <w:w w:val="90"/>
        </w:rPr>
        <w:t>test protocols used to investigate this dimension of balance between the studies. Alternatively, </w:t>
      </w:r>
      <w:r>
        <w:rPr>
          <w:color w:val="231F20"/>
          <w:spacing w:val="-6"/>
        </w:rPr>
        <w:t>differences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reactive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postural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control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abilities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may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be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less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evident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comparing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older </w:t>
      </w:r>
      <w:r>
        <w:rPr>
          <w:color w:val="231F20"/>
          <w:spacing w:val="-8"/>
        </w:rPr>
        <w:t>adults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because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age-associated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changes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this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dimension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balance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likely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affect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healthy</w:t>
      </w:r>
      <w:r>
        <w:rPr>
          <w:color w:val="231F20"/>
          <w:spacing w:val="-15"/>
        </w:rPr>
        <w:t> </w:t>
      </w:r>
      <w:r>
        <w:rPr>
          <w:color w:val="231F20"/>
          <w:spacing w:val="-8"/>
        </w:rPr>
        <w:t>older </w:t>
      </w:r>
      <w:r>
        <w:rPr>
          <w:color w:val="231F20"/>
          <w:spacing w:val="-6"/>
        </w:rPr>
        <w:t>adults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well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older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adults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FM,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albeit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lesser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degree. Further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studies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needed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 </w:t>
      </w:r>
      <w:r>
        <w:rPr>
          <w:color w:val="231F20"/>
          <w:spacing w:val="-8"/>
        </w:rPr>
        <w:t>elucidate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specific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cause(s)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balance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problems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identified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evaluate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efficacy</w:t>
      </w:r>
      <w:r>
        <w:rPr>
          <w:color w:val="231F20"/>
          <w:spacing w:val="-18"/>
        </w:rPr>
        <w:t> </w:t>
      </w:r>
      <w:r>
        <w:rPr>
          <w:color w:val="231F20"/>
          <w:spacing w:val="-8"/>
        </w:rPr>
        <w:t>of </w:t>
      </w:r>
      <w:r>
        <w:rPr>
          <w:color w:val="231F20"/>
          <w:spacing w:val="-6"/>
        </w:rPr>
        <w:t>tailored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intervention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strategies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address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identified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balance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problems.</w:t>
      </w:r>
    </w:p>
    <w:p>
      <w:pPr>
        <w:pStyle w:val="BodyText"/>
        <w:spacing w:before="115"/>
      </w:pPr>
    </w:p>
    <w:p>
      <w:pPr>
        <w:pStyle w:val="Heading1"/>
      </w:pPr>
      <w:r>
        <w:rPr>
          <w:color w:val="00669A"/>
          <w:spacing w:val="-2"/>
        </w:rPr>
        <w:t>References: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</w:tabs>
        <w:spacing w:line="240" w:lineRule="auto" w:before="230" w:after="0"/>
        <w:ind w:left="382" w:right="0" w:hanging="271"/>
        <w:jc w:val="left"/>
        <w:rPr>
          <w:sz w:val="27"/>
        </w:rPr>
      </w:pPr>
      <w:r>
        <w:rPr>
          <w:color w:val="231F20"/>
          <w:w w:val="90"/>
          <w:sz w:val="27"/>
        </w:rPr>
        <w:t>Bennett</w:t>
      </w:r>
      <w:r>
        <w:rPr>
          <w:color w:val="231F20"/>
          <w:spacing w:val="-4"/>
          <w:w w:val="90"/>
          <w:sz w:val="27"/>
        </w:rPr>
        <w:t> </w:t>
      </w:r>
      <w:r>
        <w:rPr>
          <w:color w:val="231F20"/>
          <w:w w:val="90"/>
          <w:sz w:val="27"/>
        </w:rPr>
        <w:t>RM,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Jones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J,</w:t>
      </w:r>
      <w:r>
        <w:rPr>
          <w:color w:val="231F20"/>
          <w:spacing w:val="-17"/>
          <w:w w:val="90"/>
          <w:sz w:val="27"/>
        </w:rPr>
        <w:t> </w:t>
      </w:r>
      <w:r>
        <w:rPr>
          <w:color w:val="231F20"/>
          <w:w w:val="90"/>
          <w:sz w:val="27"/>
        </w:rPr>
        <w:t>Turk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DC,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et</w:t>
      </w:r>
      <w:r>
        <w:rPr>
          <w:color w:val="231F20"/>
          <w:spacing w:val="-4"/>
          <w:w w:val="90"/>
          <w:sz w:val="27"/>
        </w:rPr>
        <w:t> </w:t>
      </w:r>
      <w:r>
        <w:rPr>
          <w:color w:val="231F20"/>
          <w:w w:val="90"/>
          <w:sz w:val="27"/>
        </w:rPr>
        <w:t>al.</w:t>
      </w:r>
      <w:r>
        <w:rPr>
          <w:color w:val="231F20"/>
          <w:spacing w:val="60"/>
          <w:sz w:val="27"/>
        </w:rPr>
        <w:t> </w:t>
      </w:r>
      <w:r>
        <w:rPr>
          <w:color w:val="231F20"/>
          <w:w w:val="90"/>
          <w:sz w:val="27"/>
        </w:rPr>
        <w:t>An</w:t>
      </w:r>
      <w:r>
        <w:rPr>
          <w:color w:val="231F20"/>
          <w:spacing w:val="-4"/>
          <w:w w:val="90"/>
          <w:sz w:val="27"/>
        </w:rPr>
        <w:t> </w:t>
      </w:r>
      <w:r>
        <w:rPr>
          <w:color w:val="231F20"/>
          <w:w w:val="90"/>
          <w:sz w:val="27"/>
        </w:rPr>
        <w:t>internet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survey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2,596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w w:val="90"/>
          <w:sz w:val="27"/>
        </w:rPr>
        <w:t>people</w:t>
      </w:r>
      <w:r>
        <w:rPr>
          <w:color w:val="231F20"/>
          <w:spacing w:val="-4"/>
          <w:w w:val="90"/>
          <w:sz w:val="27"/>
        </w:rPr>
        <w:t> </w:t>
      </w:r>
      <w:r>
        <w:rPr>
          <w:color w:val="231F20"/>
          <w:w w:val="90"/>
          <w:sz w:val="27"/>
        </w:rPr>
        <w:t>with</w:t>
      </w:r>
      <w:r>
        <w:rPr>
          <w:color w:val="231F20"/>
          <w:spacing w:val="-3"/>
          <w:w w:val="90"/>
          <w:sz w:val="27"/>
        </w:rPr>
        <w:t> </w:t>
      </w:r>
      <w:r>
        <w:rPr>
          <w:color w:val="231F20"/>
          <w:spacing w:val="-2"/>
          <w:w w:val="90"/>
          <w:sz w:val="27"/>
        </w:rPr>
        <w:t>fibromyalgia.</w:t>
      </w:r>
    </w:p>
    <w:p>
      <w:pPr>
        <w:spacing w:before="14"/>
        <w:ind w:left="384" w:right="0" w:firstLine="0"/>
        <w:jc w:val="left"/>
        <w:rPr>
          <w:sz w:val="27"/>
        </w:rPr>
      </w:pPr>
      <w:r>
        <w:rPr>
          <w:rFonts w:ascii="Gill Sans MT"/>
          <w:i/>
          <w:color w:val="231F20"/>
          <w:spacing w:val="-2"/>
          <w:sz w:val="27"/>
        </w:rPr>
        <w:t>BMC</w:t>
      </w:r>
      <w:r>
        <w:rPr>
          <w:rFonts w:ascii="Gill Sans MT"/>
          <w:i/>
          <w:color w:val="231F20"/>
          <w:spacing w:val="-18"/>
          <w:sz w:val="27"/>
        </w:rPr>
        <w:t> </w:t>
      </w:r>
      <w:r>
        <w:rPr>
          <w:rFonts w:ascii="Gill Sans MT"/>
          <w:i/>
          <w:color w:val="231F20"/>
          <w:spacing w:val="-2"/>
          <w:sz w:val="27"/>
        </w:rPr>
        <w:t>Musculoskel</w:t>
      </w:r>
      <w:r>
        <w:rPr>
          <w:rFonts w:ascii="Gill Sans MT"/>
          <w:i/>
          <w:color w:val="231F20"/>
          <w:spacing w:val="-17"/>
          <w:sz w:val="27"/>
        </w:rPr>
        <w:t> </w:t>
      </w:r>
      <w:r>
        <w:rPr>
          <w:rFonts w:ascii="Gill Sans MT"/>
          <w:i/>
          <w:color w:val="231F20"/>
          <w:spacing w:val="-2"/>
          <w:sz w:val="27"/>
        </w:rPr>
        <w:t>Disord</w:t>
      </w:r>
      <w:r>
        <w:rPr>
          <w:color w:val="231F20"/>
          <w:spacing w:val="-2"/>
          <w:sz w:val="27"/>
        </w:rPr>
        <w:t>.</w:t>
      </w:r>
      <w:r>
        <w:rPr>
          <w:color w:val="231F20"/>
          <w:spacing w:val="-14"/>
          <w:sz w:val="27"/>
        </w:rPr>
        <w:t> </w:t>
      </w:r>
      <w:r>
        <w:rPr>
          <w:color w:val="231F20"/>
          <w:spacing w:val="-2"/>
          <w:sz w:val="27"/>
        </w:rPr>
        <w:t>2007;</w:t>
      </w:r>
      <w:r>
        <w:rPr>
          <w:color w:val="231F20"/>
          <w:spacing w:val="-14"/>
          <w:sz w:val="27"/>
        </w:rPr>
        <w:t> </w:t>
      </w:r>
      <w:r>
        <w:rPr>
          <w:color w:val="231F20"/>
          <w:spacing w:val="-2"/>
          <w:sz w:val="27"/>
        </w:rPr>
        <w:t>8:</w:t>
      </w:r>
      <w:r>
        <w:rPr>
          <w:color w:val="231F20"/>
          <w:spacing w:val="-14"/>
          <w:sz w:val="27"/>
        </w:rPr>
        <w:t> </w:t>
      </w:r>
      <w:r>
        <w:rPr>
          <w:color w:val="231F20"/>
          <w:spacing w:val="-5"/>
          <w:sz w:val="27"/>
        </w:rPr>
        <w:t>27.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  <w:tab w:pos="384" w:val="left" w:leader="none"/>
        </w:tabs>
        <w:spacing w:line="249" w:lineRule="auto" w:before="105" w:after="0"/>
        <w:ind w:left="384" w:right="463" w:hanging="273"/>
        <w:jc w:val="left"/>
        <w:rPr>
          <w:sz w:val="27"/>
        </w:rPr>
      </w:pPr>
      <w:r>
        <w:rPr>
          <w:color w:val="231F20"/>
          <w:w w:val="90"/>
          <w:sz w:val="27"/>
        </w:rPr>
        <w:t>Jones KD, Horak FB,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Winter-Stone K, Irvine JM, and Bennet RM.</w:t>
      </w:r>
      <w:r>
        <w:rPr>
          <w:color w:val="231F20"/>
          <w:spacing w:val="40"/>
          <w:sz w:val="27"/>
        </w:rPr>
        <w:t> </w:t>
      </w:r>
      <w:r>
        <w:rPr>
          <w:color w:val="231F20"/>
          <w:w w:val="90"/>
          <w:sz w:val="27"/>
        </w:rPr>
        <w:t>Fibromyalgia is associated </w:t>
      </w:r>
      <w:r>
        <w:rPr>
          <w:color w:val="231F20"/>
          <w:sz w:val="27"/>
        </w:rPr>
        <w:t>with</w:t>
      </w:r>
      <w:r>
        <w:rPr>
          <w:color w:val="231F20"/>
          <w:spacing w:val="-24"/>
          <w:sz w:val="27"/>
        </w:rPr>
        <w:t> </w:t>
      </w:r>
      <w:r>
        <w:rPr>
          <w:color w:val="231F20"/>
          <w:sz w:val="27"/>
        </w:rPr>
        <w:t>impaired</w:t>
      </w:r>
      <w:r>
        <w:rPr>
          <w:color w:val="231F20"/>
          <w:spacing w:val="-24"/>
          <w:sz w:val="27"/>
        </w:rPr>
        <w:t> </w:t>
      </w:r>
      <w:r>
        <w:rPr>
          <w:color w:val="231F20"/>
          <w:sz w:val="27"/>
        </w:rPr>
        <w:t>balance</w:t>
      </w:r>
      <w:r>
        <w:rPr>
          <w:color w:val="231F20"/>
          <w:spacing w:val="-24"/>
          <w:sz w:val="27"/>
        </w:rPr>
        <w:t> </w:t>
      </w:r>
      <w:r>
        <w:rPr>
          <w:color w:val="231F20"/>
          <w:sz w:val="27"/>
        </w:rPr>
        <w:t>and</w:t>
      </w:r>
      <w:r>
        <w:rPr>
          <w:color w:val="231F20"/>
          <w:spacing w:val="-24"/>
          <w:sz w:val="27"/>
        </w:rPr>
        <w:t> </w:t>
      </w:r>
      <w:r>
        <w:rPr>
          <w:color w:val="231F20"/>
          <w:sz w:val="27"/>
        </w:rPr>
        <w:t>falls.</w:t>
      </w:r>
      <w:r>
        <w:rPr>
          <w:color w:val="231F20"/>
          <w:spacing w:val="-7"/>
          <w:sz w:val="27"/>
        </w:rPr>
        <w:t> </w:t>
      </w:r>
      <w:r>
        <w:rPr>
          <w:rFonts w:ascii="Gill Sans MT"/>
          <w:i/>
          <w:color w:val="231F20"/>
          <w:w w:val="125"/>
          <w:sz w:val="27"/>
        </w:rPr>
        <w:t>J</w:t>
      </w:r>
      <w:r>
        <w:rPr>
          <w:rFonts w:ascii="Gill Sans MT"/>
          <w:i/>
          <w:color w:val="231F20"/>
          <w:spacing w:val="-45"/>
          <w:w w:val="125"/>
          <w:sz w:val="27"/>
        </w:rPr>
        <w:t> </w:t>
      </w:r>
      <w:r>
        <w:rPr>
          <w:rFonts w:ascii="Gill Sans MT"/>
          <w:i/>
          <w:color w:val="231F20"/>
          <w:sz w:val="27"/>
        </w:rPr>
        <w:t>Clinic</w:t>
      </w:r>
      <w:r>
        <w:rPr>
          <w:rFonts w:ascii="Gill Sans MT"/>
          <w:i/>
          <w:color w:val="231F20"/>
          <w:spacing w:val="-26"/>
          <w:sz w:val="27"/>
        </w:rPr>
        <w:t> </w:t>
      </w:r>
      <w:r>
        <w:rPr>
          <w:rFonts w:ascii="Gill Sans MT"/>
          <w:i/>
          <w:color w:val="231F20"/>
          <w:sz w:val="27"/>
        </w:rPr>
        <w:t>Rheumatol</w:t>
      </w:r>
      <w:r>
        <w:rPr>
          <w:color w:val="231F20"/>
          <w:sz w:val="27"/>
        </w:rPr>
        <w:t>.</w:t>
      </w:r>
      <w:r>
        <w:rPr>
          <w:color w:val="231F20"/>
          <w:spacing w:val="-6"/>
          <w:sz w:val="27"/>
        </w:rPr>
        <w:t> </w:t>
      </w:r>
      <w:r>
        <w:rPr>
          <w:color w:val="231F20"/>
          <w:sz w:val="27"/>
        </w:rPr>
        <w:t>2009;</w:t>
      </w:r>
      <w:r>
        <w:rPr>
          <w:color w:val="231F20"/>
          <w:spacing w:val="-24"/>
          <w:sz w:val="27"/>
        </w:rPr>
        <w:t> </w:t>
      </w:r>
      <w:r>
        <w:rPr>
          <w:color w:val="231F20"/>
          <w:sz w:val="27"/>
        </w:rPr>
        <w:t>15:16-21.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  <w:tab w:pos="384" w:val="left" w:leader="none"/>
        </w:tabs>
        <w:spacing w:line="249" w:lineRule="auto" w:before="93" w:after="0"/>
        <w:ind w:left="384" w:right="343" w:hanging="273"/>
        <w:jc w:val="left"/>
        <w:rPr>
          <w:sz w:val="27"/>
        </w:rPr>
      </w:pPr>
      <w:r>
        <w:rPr>
          <w:color w:val="231F20"/>
          <w:w w:val="90"/>
          <w:sz w:val="27"/>
        </w:rPr>
        <w:t>Rose DJ, Lucchese M, Wiersma L. Development of a multidimensional balance scale for use</w:t>
      </w:r>
      <w:r>
        <w:rPr>
          <w:color w:val="231F20"/>
          <w:sz w:val="27"/>
        </w:rPr>
        <w:t> </w:t>
      </w:r>
      <w:r>
        <w:rPr>
          <w:color w:val="231F20"/>
          <w:spacing w:val="-2"/>
          <w:sz w:val="27"/>
        </w:rPr>
        <w:t>with</w:t>
      </w:r>
      <w:r>
        <w:rPr>
          <w:color w:val="231F20"/>
          <w:spacing w:val="-23"/>
          <w:sz w:val="27"/>
        </w:rPr>
        <w:t> </w:t>
      </w:r>
      <w:r>
        <w:rPr>
          <w:color w:val="231F20"/>
          <w:spacing w:val="-2"/>
          <w:sz w:val="27"/>
        </w:rPr>
        <w:t>functionally</w:t>
      </w:r>
      <w:r>
        <w:rPr>
          <w:color w:val="231F20"/>
          <w:spacing w:val="-23"/>
          <w:sz w:val="27"/>
        </w:rPr>
        <w:t> </w:t>
      </w:r>
      <w:r>
        <w:rPr>
          <w:color w:val="231F20"/>
          <w:spacing w:val="-2"/>
          <w:sz w:val="27"/>
        </w:rPr>
        <w:t>independent</w:t>
      </w:r>
      <w:r>
        <w:rPr>
          <w:color w:val="231F20"/>
          <w:spacing w:val="-23"/>
          <w:sz w:val="27"/>
        </w:rPr>
        <w:t> </w:t>
      </w:r>
      <w:r>
        <w:rPr>
          <w:color w:val="231F20"/>
          <w:spacing w:val="-2"/>
          <w:sz w:val="27"/>
        </w:rPr>
        <w:t>older</w:t>
      </w:r>
      <w:r>
        <w:rPr>
          <w:color w:val="231F20"/>
          <w:spacing w:val="-23"/>
          <w:sz w:val="27"/>
        </w:rPr>
        <w:t> </w:t>
      </w:r>
      <w:r>
        <w:rPr>
          <w:color w:val="231F20"/>
          <w:spacing w:val="-2"/>
          <w:sz w:val="27"/>
        </w:rPr>
        <w:t>adults.</w:t>
      </w:r>
      <w:r>
        <w:rPr>
          <w:color w:val="231F20"/>
          <w:spacing w:val="-23"/>
          <w:sz w:val="27"/>
        </w:rPr>
        <w:t> </w:t>
      </w:r>
      <w:r>
        <w:rPr>
          <w:rFonts w:ascii="Gill Sans MT"/>
          <w:i/>
          <w:color w:val="231F20"/>
          <w:spacing w:val="-2"/>
          <w:sz w:val="27"/>
        </w:rPr>
        <w:t>Arch</w:t>
      </w:r>
      <w:r>
        <w:rPr>
          <w:rFonts w:ascii="Gill Sans MT"/>
          <w:i/>
          <w:color w:val="231F20"/>
          <w:spacing w:val="-25"/>
          <w:sz w:val="27"/>
        </w:rPr>
        <w:t> </w:t>
      </w:r>
      <w:r>
        <w:rPr>
          <w:rFonts w:ascii="Gill Sans MT"/>
          <w:i/>
          <w:color w:val="231F20"/>
          <w:spacing w:val="-2"/>
          <w:sz w:val="27"/>
        </w:rPr>
        <w:t>Phys</w:t>
      </w:r>
      <w:r>
        <w:rPr>
          <w:rFonts w:ascii="Gill Sans MT"/>
          <w:i/>
          <w:color w:val="231F20"/>
          <w:spacing w:val="-25"/>
          <w:sz w:val="27"/>
        </w:rPr>
        <w:t> </w:t>
      </w:r>
      <w:r>
        <w:rPr>
          <w:rFonts w:ascii="Gill Sans MT"/>
          <w:i/>
          <w:color w:val="231F20"/>
          <w:spacing w:val="-2"/>
          <w:sz w:val="27"/>
        </w:rPr>
        <w:t>Med</w:t>
      </w:r>
      <w:r>
        <w:rPr>
          <w:rFonts w:ascii="Gill Sans MT"/>
          <w:i/>
          <w:color w:val="231F20"/>
          <w:spacing w:val="-25"/>
          <w:sz w:val="27"/>
        </w:rPr>
        <w:t> </w:t>
      </w:r>
      <w:r>
        <w:rPr>
          <w:rFonts w:ascii="Gill Sans MT"/>
          <w:i/>
          <w:color w:val="231F20"/>
          <w:spacing w:val="-2"/>
          <w:sz w:val="27"/>
        </w:rPr>
        <w:t>Rehabil</w:t>
      </w:r>
      <w:r>
        <w:rPr>
          <w:color w:val="231F20"/>
          <w:spacing w:val="-2"/>
          <w:sz w:val="27"/>
        </w:rPr>
        <w:t>.</w:t>
      </w:r>
      <w:r>
        <w:rPr>
          <w:color w:val="231F20"/>
          <w:spacing w:val="-23"/>
          <w:sz w:val="27"/>
        </w:rPr>
        <w:t> </w:t>
      </w:r>
      <w:r>
        <w:rPr>
          <w:color w:val="231F20"/>
          <w:spacing w:val="-2"/>
          <w:sz w:val="27"/>
        </w:rPr>
        <w:t>2006;</w:t>
      </w:r>
      <w:r>
        <w:rPr>
          <w:color w:val="231F20"/>
          <w:spacing w:val="-23"/>
          <w:sz w:val="27"/>
        </w:rPr>
        <w:t> </w:t>
      </w:r>
      <w:r>
        <w:rPr>
          <w:color w:val="231F20"/>
          <w:spacing w:val="-2"/>
          <w:sz w:val="27"/>
        </w:rPr>
        <w:t>87:1478-85.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  <w:tab w:pos="384" w:val="left" w:leader="none"/>
        </w:tabs>
        <w:spacing w:line="249" w:lineRule="auto" w:before="93" w:after="0"/>
        <w:ind w:left="384" w:right="195" w:hanging="273"/>
        <w:jc w:val="left"/>
        <w:rPr>
          <w:sz w:val="27"/>
        </w:rPr>
      </w:pPr>
      <w:r>
        <w:rPr>
          <w:color w:val="231F20"/>
          <w:w w:val="90"/>
          <w:sz w:val="27"/>
        </w:rPr>
        <w:t>Flores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G.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Establishing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test-retest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reliability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the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short-form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version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the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Fullerton</w:t>
      </w:r>
      <w:r>
        <w:rPr>
          <w:color w:val="231F20"/>
          <w:spacing w:val="-11"/>
          <w:w w:val="90"/>
          <w:sz w:val="27"/>
        </w:rPr>
        <w:t> </w:t>
      </w:r>
      <w:r>
        <w:rPr>
          <w:color w:val="231F20"/>
          <w:w w:val="90"/>
          <w:sz w:val="27"/>
        </w:rPr>
        <w:t>Advanced Balance scale in individuals with fibromyalgia. Unpublished Master’s Thesis, California State </w:t>
      </w:r>
      <w:r>
        <w:rPr>
          <w:color w:val="231F20"/>
          <w:spacing w:val="-6"/>
          <w:sz w:val="27"/>
        </w:rPr>
        <w:t>University,</w:t>
      </w:r>
      <w:r>
        <w:rPr>
          <w:color w:val="231F20"/>
          <w:spacing w:val="-16"/>
          <w:sz w:val="27"/>
        </w:rPr>
        <w:t> </w:t>
      </w:r>
      <w:r>
        <w:rPr>
          <w:color w:val="231F20"/>
          <w:spacing w:val="-6"/>
          <w:sz w:val="27"/>
        </w:rPr>
        <w:t>Fullerton,</w:t>
      </w:r>
      <w:r>
        <w:rPr>
          <w:color w:val="231F20"/>
          <w:spacing w:val="-16"/>
          <w:sz w:val="27"/>
        </w:rPr>
        <w:t> </w:t>
      </w:r>
      <w:r>
        <w:rPr>
          <w:color w:val="231F20"/>
          <w:spacing w:val="-6"/>
          <w:sz w:val="27"/>
        </w:rPr>
        <w:t>2008.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  <w:tab w:pos="384" w:val="left" w:leader="none"/>
        </w:tabs>
        <w:spacing w:line="249" w:lineRule="auto" w:before="97" w:after="0"/>
        <w:ind w:left="384" w:right="379" w:hanging="273"/>
        <w:jc w:val="left"/>
        <w:rPr>
          <w:sz w:val="27"/>
        </w:rPr>
      </w:pPr>
      <w:r>
        <w:rPr>
          <w:color w:val="231F20"/>
          <w:w w:val="90"/>
          <w:sz w:val="27"/>
        </w:rPr>
        <w:t>Horak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F,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Frank,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J,</w:t>
      </w:r>
      <w:r>
        <w:rPr>
          <w:color w:val="231F20"/>
          <w:spacing w:val="-18"/>
          <w:w w:val="90"/>
          <w:sz w:val="27"/>
        </w:rPr>
        <w:t> </w:t>
      </w:r>
      <w:r>
        <w:rPr>
          <w:color w:val="231F20"/>
          <w:w w:val="90"/>
          <w:sz w:val="27"/>
        </w:rPr>
        <w:t>Wrisly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D.</w:t>
      </w:r>
      <w:r>
        <w:rPr>
          <w:color w:val="231F20"/>
          <w:spacing w:val="40"/>
          <w:sz w:val="27"/>
        </w:rPr>
        <w:t> </w:t>
      </w:r>
      <w:r>
        <w:rPr>
          <w:color w:val="231F20"/>
          <w:w w:val="90"/>
          <w:sz w:val="27"/>
        </w:rPr>
        <w:t>The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balance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evaluation-system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test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(BESTest):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development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of</w:t>
      </w:r>
      <w:r>
        <w:rPr>
          <w:color w:val="231F20"/>
          <w:spacing w:val="-6"/>
          <w:w w:val="90"/>
          <w:sz w:val="27"/>
        </w:rPr>
        <w:t> </w:t>
      </w:r>
      <w:r>
        <w:rPr>
          <w:color w:val="231F20"/>
          <w:w w:val="90"/>
          <w:sz w:val="27"/>
        </w:rPr>
        <w:t>a </w:t>
      </w:r>
      <w:r>
        <w:rPr>
          <w:color w:val="231F20"/>
          <w:spacing w:val="-6"/>
          <w:sz w:val="27"/>
        </w:rPr>
        <w:t>clinical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tool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to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differentiate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types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of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balance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deficits.</w:t>
      </w:r>
      <w:r>
        <w:rPr>
          <w:color w:val="231F20"/>
          <w:spacing w:val="1"/>
          <w:sz w:val="27"/>
        </w:rPr>
        <w:t> </w:t>
      </w:r>
      <w:r>
        <w:rPr>
          <w:rFonts w:ascii="Gill Sans MT"/>
          <w:i/>
          <w:color w:val="231F20"/>
          <w:spacing w:val="-6"/>
          <w:sz w:val="27"/>
        </w:rPr>
        <w:t>Phys</w:t>
      </w:r>
      <w:r>
        <w:rPr>
          <w:rFonts w:ascii="Gill Sans MT"/>
          <w:i/>
          <w:color w:val="231F20"/>
          <w:spacing w:val="-26"/>
          <w:sz w:val="27"/>
        </w:rPr>
        <w:t> </w:t>
      </w:r>
      <w:r>
        <w:rPr>
          <w:rFonts w:ascii="Gill Sans MT"/>
          <w:i/>
          <w:color w:val="231F20"/>
          <w:spacing w:val="-6"/>
          <w:sz w:val="27"/>
        </w:rPr>
        <w:t>Ther</w:t>
      </w:r>
      <w:r>
        <w:rPr>
          <w:color w:val="231F20"/>
          <w:spacing w:val="-6"/>
          <w:sz w:val="27"/>
        </w:rPr>
        <w:t>,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(In</w:t>
      </w:r>
      <w:r>
        <w:rPr>
          <w:color w:val="231F20"/>
          <w:spacing w:val="-24"/>
          <w:sz w:val="27"/>
        </w:rPr>
        <w:t> </w:t>
      </w:r>
      <w:r>
        <w:rPr>
          <w:color w:val="231F20"/>
          <w:spacing w:val="-6"/>
          <w:sz w:val="27"/>
        </w:rPr>
        <w:t>press).</w:t>
      </w:r>
    </w:p>
    <w:sectPr>
      <w:type w:val="continuous"/>
      <w:pgSz w:w="22030" w:h="31660"/>
      <w:pgMar w:top="680" w:bottom="280" w:left="560" w:right="580"/>
      <w:cols w:num="2" w:equalWidth="0">
        <w:col w:w="9053" w:space="919"/>
        <w:col w:w="109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84" w:hanging="2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31F20"/>
        <w:spacing w:val="0"/>
        <w:w w:val="81"/>
        <w:sz w:val="27"/>
        <w:szCs w:val="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3" w:hanging="2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6" w:hanging="2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39" w:hanging="2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93" w:hanging="2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46" w:hanging="2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99" w:hanging="2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52" w:hanging="2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6" w:hanging="27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30"/>
    </w:pPr>
    <w:rPr>
      <w:rFonts w:ascii="Trebuchet MS" w:hAnsi="Trebuchet MS" w:eastAsia="Trebuchet MS" w:cs="Trebuchet MS"/>
      <w:sz w:val="27"/>
      <w:szCs w:val="2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1"/>
      <w:outlineLvl w:val="1"/>
    </w:pPr>
    <w:rPr>
      <w:rFonts w:ascii="Century Gothic" w:hAnsi="Century Gothic" w:eastAsia="Century Gothic" w:cs="Century Gothic"/>
      <w:b/>
      <w:bCs/>
      <w:sz w:val="38"/>
      <w:szCs w:val="3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6"/>
      <w:ind w:left="4950" w:hanging="4536"/>
    </w:pPr>
    <w:rPr>
      <w:rFonts w:ascii="Century Gothic" w:hAnsi="Century Gothic" w:eastAsia="Century Gothic" w:cs="Century Gothic"/>
      <w:b/>
      <w:bCs/>
      <w:sz w:val="79"/>
      <w:szCs w:val="7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3"/>
      <w:ind w:left="384" w:hanging="273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8"/>
      <w:ind w:left="172"/>
      <w:jc w:val="center"/>
    </w:pPr>
    <w:rPr>
      <w:rFonts w:ascii="Gill Sans MT" w:hAnsi="Gill Sans MT" w:eastAsia="Gill Sans MT" w:cs="Gill Sans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RosePoster July 2009</dc:title>
  <dcterms:created xsi:type="dcterms:W3CDTF">2026-09-28T22:08:20Z</dcterms:created>
  <dcterms:modified xsi:type="dcterms:W3CDTF">2026-09-28T22:08:20Z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2009-06-16T00:00:00Z</vt:filetime>
  </property>
  <property fmtid="{D5CDD505-2E9C-101B-9397-08002B2CF9AE}" pid="3" name="Creator">
    <vt:lpwstr>Adobe Illustrator CS4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9.00</vt:lpwstr>
  </property>
</Properties>
</file>