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607530" cy="1980564"/>
                <wp:effectExtent l="0" t="0" r="0" b="63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607530" cy="1980564"/>
                          <a:chExt cx="19607530" cy="1980564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7084" cy="1980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9607530" cy="19805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0" w:right="4" w:firstLine="0"/>
                                <w:jc w:val="center"/>
                                <w:rPr>
                                  <w:rFonts w:ascii="Century Gothic"/>
                                  <w:b/>
                                  <w:sz w:val="117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BMI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2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Levels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3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2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Pain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3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Indices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3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2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Hispanics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3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with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3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w w:val="90"/>
                                  <w:sz w:val="117"/>
                                </w:rPr>
                                <w:t>Chronic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2"/>
                                  <w:sz w:val="117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B1063A"/>
                                  <w:spacing w:val="-4"/>
                                  <w:w w:val="90"/>
                                  <w:sz w:val="117"/>
                                </w:rPr>
                                <w:t>Pain</w:t>
                              </w:r>
                            </w:p>
                            <w:p>
                              <w:pPr>
                                <w:spacing w:before="224"/>
                                <w:ind w:left="4" w:right="4" w:firstLine="0"/>
                                <w:jc w:val="center"/>
                                <w:rPr>
                                  <w:sz w:val="43"/>
                                </w:rPr>
                              </w:pPr>
                              <w:r>
                                <w:rPr>
                                  <w:color w:val="26486C"/>
                                  <w:sz w:val="43"/>
                                </w:rPr>
                                <w:t>Jordan</w:t>
                              </w:r>
                              <w:r>
                                <w:rPr>
                                  <w:color w:val="26486C"/>
                                  <w:spacing w:val="-11"/>
                                  <w:sz w:val="43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</w:rPr>
                                <w:t>K.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</w:rPr>
                                <w:t>Aquino,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</w:rPr>
                                <w:t>BS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color w:val="26486C"/>
                                  <w:spacing w:val="-54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Dana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N.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Rutledge,</w:t>
                              </w:r>
                              <w:r>
                                <w:rPr>
                                  <w:color w:val="26486C"/>
                                  <w:spacing w:val="-11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RN,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PhD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color w:val="26486C"/>
                                  <w:spacing w:val="-54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C.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Jessie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Jones,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PhD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color w:val="26486C"/>
                                  <w:spacing w:val="-5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Patricia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Cantero,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PhD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color w:val="26486C"/>
                                  <w:spacing w:val="-54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Alejandro</w:t>
                              </w:r>
                              <w:r>
                                <w:rPr>
                                  <w:color w:val="26486C"/>
                                  <w:spacing w:val="-11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Espinoza,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MPH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color w:val="26486C"/>
                                  <w:spacing w:val="-54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Brianne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Levine,</w:t>
                              </w:r>
                              <w:r>
                                <w:rPr>
                                  <w:color w:val="26486C"/>
                                  <w:spacing w:val="-10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BA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2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z w:val="43"/>
                                  <w:vertAlign w:val="baseline"/>
                                </w:rPr>
                                <w:t>Elizabeth</w:t>
                              </w:r>
                              <w:r>
                                <w:rPr>
                                  <w:color w:val="26486C"/>
                                  <w:spacing w:val="-11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26486C"/>
                                  <w:spacing w:val="-2"/>
                                  <w:sz w:val="43"/>
                                  <w:vertAlign w:val="baseline"/>
                                </w:rPr>
                                <w:t>Blache</w:t>
                              </w:r>
                              <w:r>
                                <w:rPr>
                                  <w:color w:val="26486C"/>
                                  <w:spacing w:val="-2"/>
                                  <w:sz w:val="43"/>
                                  <w:vertAlign w:val="superscript"/>
                                </w:rPr>
                                <w:t>1</w:t>
                              </w:r>
                            </w:p>
                            <w:p>
                              <w:pPr>
                                <w:spacing w:before="108"/>
                                <w:ind w:left="4" w:right="4" w:firstLine="0"/>
                                <w:jc w:val="center"/>
                                <w:rPr>
                                  <w:rFonts w:ascii="Calibri" w:hAnsi="Calibri"/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California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3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State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2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University,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3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Fullerton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58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B1063A"/>
                                  <w:w w:val="105"/>
                                  <w:sz w:val="43"/>
                                  <w:vertAlign w:val="baseline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B1063A"/>
                                  <w:spacing w:val="47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Latino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2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Health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3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Access,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2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Santa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2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w w:val="105"/>
                                  <w:sz w:val="43"/>
                                  <w:vertAlign w:val="baseline"/>
                                </w:rPr>
                                <w:t>Ana,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3"/>
                                  <w:w w:val="105"/>
                                  <w:sz w:val="4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26486C"/>
                                  <w:spacing w:val="-2"/>
                                  <w:w w:val="105"/>
                                  <w:sz w:val="43"/>
                                  <w:vertAlign w:val="baseline"/>
                                </w:rPr>
                                <w:t>California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3.9pt;height:155.950pt;mso-position-horizontal-relative:char;mso-position-vertical-relative:line" id="docshapegroup1" coordorigin="0,0" coordsize="30878,3119">
                <v:shape style="position:absolute;left:0;top:0;width:30878;height:3119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30878;height:3119" type="#_x0000_t202" id="docshape3" filled="false" stroked="false">
                  <v:textbox inset="0,0,0,0">
                    <w:txbxContent>
                      <w:p>
                        <w:pPr>
                          <w:spacing w:before="196"/>
                          <w:ind w:left="0" w:right="4" w:firstLine="0"/>
                          <w:jc w:val="center"/>
                          <w:rPr>
                            <w:rFonts w:ascii="Century Gothic"/>
                            <w:b/>
                            <w:sz w:val="117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BMI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2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Levels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3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2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Pain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3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Indices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3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in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2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Hispanics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3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with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3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w w:val="90"/>
                            <w:sz w:val="117"/>
                          </w:rPr>
                          <w:t>Chronic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2"/>
                            <w:sz w:val="117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B1063A"/>
                            <w:spacing w:val="-4"/>
                            <w:w w:val="90"/>
                            <w:sz w:val="117"/>
                          </w:rPr>
                          <w:t>Pain</w:t>
                        </w:r>
                      </w:p>
                      <w:p>
                        <w:pPr>
                          <w:spacing w:before="224"/>
                          <w:ind w:left="4" w:right="4" w:firstLine="0"/>
                          <w:jc w:val="center"/>
                          <w:rPr>
                            <w:sz w:val="43"/>
                          </w:rPr>
                        </w:pPr>
                        <w:r>
                          <w:rPr>
                            <w:color w:val="26486C"/>
                            <w:sz w:val="43"/>
                          </w:rPr>
                          <w:t>Jordan</w:t>
                        </w:r>
                        <w:r>
                          <w:rPr>
                            <w:color w:val="26486C"/>
                            <w:spacing w:val="-11"/>
                            <w:sz w:val="43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</w:rPr>
                          <w:t>K.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</w:rPr>
                          <w:t>Aquino,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</w:rPr>
                          <w:t>BS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26486C"/>
                            <w:spacing w:val="-54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Dana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N.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Rutledge,</w:t>
                        </w:r>
                        <w:r>
                          <w:rPr>
                            <w:color w:val="26486C"/>
                            <w:spacing w:val="-11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RN,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PhD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26486C"/>
                            <w:spacing w:val="-54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C.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Jessie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Jones,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PhD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1</w:t>
                        </w:r>
                        <w:r>
                          <w:rPr>
                            <w:color w:val="26486C"/>
                            <w:spacing w:val="-5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Patricia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Cantero,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PhD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2</w:t>
                        </w:r>
                        <w:r>
                          <w:rPr>
                            <w:color w:val="26486C"/>
                            <w:spacing w:val="-54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Alejandro</w:t>
                        </w:r>
                        <w:r>
                          <w:rPr>
                            <w:color w:val="26486C"/>
                            <w:spacing w:val="-11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Espinoza,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MPH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2</w:t>
                        </w:r>
                        <w:r>
                          <w:rPr>
                            <w:color w:val="26486C"/>
                            <w:spacing w:val="-54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Brianne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Levine,</w:t>
                        </w:r>
                        <w:r>
                          <w:rPr>
                            <w:color w:val="26486C"/>
                            <w:spacing w:val="-10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BA</w:t>
                        </w:r>
                        <w:r>
                          <w:rPr>
                            <w:color w:val="26486C"/>
                            <w:sz w:val="43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Wingdings" w:hAnsi="Wingdings"/>
                            <w:color w:val="B1063A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2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z w:val="43"/>
                            <w:vertAlign w:val="baseline"/>
                          </w:rPr>
                          <w:t>Elizabeth</w:t>
                        </w:r>
                        <w:r>
                          <w:rPr>
                            <w:color w:val="26486C"/>
                            <w:spacing w:val="-11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color w:val="26486C"/>
                            <w:spacing w:val="-2"/>
                            <w:sz w:val="43"/>
                            <w:vertAlign w:val="baseline"/>
                          </w:rPr>
                          <w:t>Blache</w:t>
                        </w:r>
                        <w:r>
                          <w:rPr>
                            <w:color w:val="26486C"/>
                            <w:spacing w:val="-2"/>
                            <w:sz w:val="43"/>
                            <w:vertAlign w:val="superscript"/>
                          </w:rPr>
                          <w:t>1</w:t>
                        </w:r>
                      </w:p>
                      <w:p>
                        <w:pPr>
                          <w:spacing w:before="108"/>
                          <w:ind w:left="4" w:right="4" w:firstLine="0"/>
                          <w:jc w:val="center"/>
                          <w:rPr>
                            <w:rFonts w:ascii="Calibri" w:hAnsi="Calibri"/>
                            <w:b/>
                            <w:sz w:val="43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California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3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State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2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University,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3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Fullerton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58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B1063A"/>
                            <w:w w:val="105"/>
                            <w:sz w:val="43"/>
                            <w:vertAlign w:val="baseline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B1063A"/>
                            <w:spacing w:val="47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Latino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2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Health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3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Access,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2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Santa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2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w w:val="105"/>
                            <w:sz w:val="43"/>
                            <w:vertAlign w:val="baseline"/>
                          </w:rPr>
                          <w:t>Ana,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3"/>
                            <w:w w:val="105"/>
                            <w:sz w:val="4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color w:val="26486C"/>
                            <w:spacing w:val="-2"/>
                            <w:w w:val="105"/>
                            <w:sz w:val="43"/>
                            <w:vertAlign w:val="baseline"/>
                          </w:rPr>
                          <w:t>California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31660" w:h="13900" w:orient="landscape"/>
          <w:pgMar w:top="360" w:bottom="280" w:left="280" w:right="280"/>
        </w:sectPr>
      </w:pPr>
    </w:p>
    <w:p>
      <w:pPr>
        <w:pStyle w:val="Heading1"/>
      </w:pPr>
      <w:r>
        <w:rPr>
          <w:color w:val="B1063A"/>
          <w:spacing w:val="-2"/>
        </w:rPr>
        <w:t>Background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270" w:after="0"/>
        <w:ind w:left="327" w:right="38" w:hanging="194"/>
        <w:jc w:val="both"/>
        <w:rPr>
          <w:sz w:val="22"/>
        </w:rPr>
      </w:pPr>
      <w:r>
        <w:rPr>
          <w:color w:val="26486C"/>
          <w:w w:val="105"/>
          <w:sz w:val="22"/>
        </w:rPr>
        <w:t>Obesity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chronic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pain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have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been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associated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with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lower</w:t>
      </w:r>
      <w:r>
        <w:rPr>
          <w:color w:val="26486C"/>
          <w:spacing w:val="-3"/>
          <w:w w:val="105"/>
          <w:sz w:val="22"/>
        </w:rPr>
        <w:t> </w:t>
      </w:r>
      <w:r>
        <w:rPr>
          <w:color w:val="26486C"/>
          <w:w w:val="105"/>
          <w:sz w:val="22"/>
        </w:rPr>
        <w:t>quality of</w:t>
      </w:r>
      <w:r>
        <w:rPr>
          <w:color w:val="26486C"/>
          <w:spacing w:val="-20"/>
          <w:w w:val="105"/>
          <w:sz w:val="22"/>
        </w:rPr>
        <w:t> </w:t>
      </w:r>
      <w:r>
        <w:rPr>
          <w:color w:val="26486C"/>
          <w:w w:val="105"/>
          <w:sz w:val="22"/>
        </w:rPr>
        <w:t>life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are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risk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factors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for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other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debilitating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health</w:t>
      </w:r>
      <w:r>
        <w:rPr>
          <w:color w:val="26486C"/>
          <w:spacing w:val="-19"/>
          <w:w w:val="105"/>
          <w:sz w:val="22"/>
        </w:rPr>
        <w:t> </w:t>
      </w:r>
      <w:r>
        <w:rPr>
          <w:color w:val="26486C"/>
          <w:w w:val="105"/>
          <w:sz w:val="22"/>
        </w:rPr>
        <w:t>conditions.</w:t>
      </w:r>
      <w:r>
        <w:rPr>
          <w:color w:val="26486C"/>
          <w:w w:val="105"/>
          <w:sz w:val="22"/>
          <w:vertAlign w:val="superscript"/>
        </w:rPr>
        <w:t>1,2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168" w:hanging="194"/>
        <w:jc w:val="both"/>
        <w:rPr>
          <w:sz w:val="22"/>
        </w:rPr>
      </w:pPr>
      <w:r>
        <w:rPr>
          <w:color w:val="26486C"/>
          <w:w w:val="105"/>
          <w:sz w:val="22"/>
        </w:rPr>
        <w:t>However,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research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is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limited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on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the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relationship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between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weight and pain in the Hispanic population.</w:t>
      </w:r>
    </w:p>
    <w:p>
      <w:pPr>
        <w:pStyle w:val="BodyText"/>
        <w:spacing w:before="98"/>
      </w:pPr>
    </w:p>
    <w:p>
      <w:pPr>
        <w:pStyle w:val="Heading1"/>
        <w:spacing w:before="0"/>
      </w:pPr>
      <w:r>
        <w:rPr>
          <w:color w:val="B1063A"/>
          <w:spacing w:val="-2"/>
        </w:rPr>
        <w:t>Objective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270" w:after="0"/>
        <w:ind w:left="327" w:right="48" w:hanging="194"/>
        <w:jc w:val="both"/>
        <w:rPr>
          <w:sz w:val="22"/>
        </w:rPr>
      </w:pPr>
      <w:r>
        <w:rPr>
          <w:color w:val="26486C"/>
          <w:sz w:val="22"/>
        </w:rPr>
        <w:t>To describe the relationship between body mass index (BMI) and pain indices (severity, pain troublesomeness [PT], number of pain sites) among ambulatory, low-income, overweight/obese Hispanic </w:t>
      </w:r>
      <w:r>
        <w:rPr>
          <w:color w:val="26486C"/>
          <w:w w:val="110"/>
          <w:sz w:val="22"/>
        </w:rPr>
        <w:t>persons with chronic pain.</w:t>
      </w:r>
    </w:p>
    <w:p>
      <w:pPr>
        <w:pStyle w:val="BodyText"/>
        <w:spacing w:before="6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801188</wp:posOffset>
            </wp:positionH>
            <wp:positionV relativeFrom="paragraph">
              <wp:posOffset>107782</wp:posOffset>
            </wp:positionV>
            <wp:extent cx="2860534" cy="3367087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534" cy="3367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b w:val="0"/>
        </w:rPr>
        <w:br w:type="column"/>
      </w:r>
      <w:r>
        <w:rPr>
          <w:color w:val="B1063A"/>
          <w:spacing w:val="-2"/>
        </w:rPr>
        <w:t>Methods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268" w:after="0"/>
        <w:ind w:left="327" w:right="38" w:hanging="194"/>
        <w:jc w:val="left"/>
        <w:rPr>
          <w:sz w:val="22"/>
        </w:rPr>
      </w:pPr>
      <w:r>
        <w:rPr>
          <w:color w:val="26486C"/>
          <w:w w:val="105"/>
          <w:sz w:val="22"/>
        </w:rPr>
        <w:t>This participatory action study involved </w:t>
      </w:r>
      <w:r>
        <w:rPr>
          <w:rFonts w:ascii="Trebuchet MS" w:hAnsi="Trebuchet MS"/>
          <w:i/>
          <w:color w:val="26486C"/>
          <w:w w:val="105"/>
          <w:sz w:val="22"/>
        </w:rPr>
        <w:t>promotores </w:t>
      </w:r>
      <w:r>
        <w:rPr>
          <w:color w:val="26486C"/>
          <w:w w:val="105"/>
          <w:sz w:val="22"/>
        </w:rPr>
        <w:t>from the community who interviewed subjects in Spanish about varying health issues.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214" w:hanging="194"/>
        <w:jc w:val="left"/>
        <w:rPr>
          <w:sz w:val="22"/>
        </w:rPr>
      </w:pPr>
      <w:r>
        <w:rPr>
          <w:color w:val="26486C"/>
          <w:sz w:val="22"/>
        </w:rPr>
        <w:t>Height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and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weight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were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measured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using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calibrated</w:t>
      </w:r>
      <w:r>
        <w:rPr>
          <w:color w:val="26486C"/>
          <w:spacing w:val="37"/>
          <w:sz w:val="22"/>
        </w:rPr>
        <w:t> </w:t>
      </w:r>
      <w:r>
        <w:rPr>
          <w:color w:val="26486C"/>
          <w:sz w:val="22"/>
        </w:rPr>
        <w:t>tools, </w:t>
      </w:r>
      <w:r>
        <w:rPr>
          <w:color w:val="26486C"/>
          <w:w w:val="110"/>
          <w:sz w:val="22"/>
        </w:rPr>
        <w:t>allowing calculation of BMI.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135" w:hanging="194"/>
        <w:jc w:val="left"/>
        <w:rPr>
          <w:sz w:val="22"/>
        </w:rPr>
      </w:pPr>
      <w:r>
        <w:rPr>
          <w:color w:val="26486C"/>
          <w:w w:val="105"/>
          <w:sz w:val="22"/>
        </w:rPr>
        <w:t>All interview questions were translated into Spanish using translation/back translation methods.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2" w:lineRule="auto" w:before="255" w:after="0"/>
        <w:ind w:left="327" w:right="163" w:hanging="194"/>
        <w:jc w:val="left"/>
        <w:rPr>
          <w:sz w:val="22"/>
        </w:rPr>
      </w:pPr>
      <w:r>
        <w:rPr>
          <w:color w:val="26486C"/>
          <w:sz w:val="22"/>
        </w:rPr>
        <w:t>Pain indices were </w:t>
      </w:r>
      <w:r>
        <w:rPr>
          <w:rFonts w:ascii="Trebuchet MS" w:hAnsi="Trebuchet MS"/>
          <w:i/>
          <w:color w:val="26486C"/>
          <w:sz w:val="22"/>
        </w:rPr>
        <w:t>intensity </w:t>
      </w:r>
      <w:r>
        <w:rPr>
          <w:color w:val="26486C"/>
          <w:sz w:val="22"/>
        </w:rPr>
        <w:t>(0-10 numeric rating scale), </w:t>
      </w:r>
      <w:r>
        <w:rPr>
          <w:rFonts w:ascii="Trebuchet MS" w:hAnsi="Trebuchet MS"/>
          <w:i/>
          <w:color w:val="26486C"/>
          <w:sz w:val="22"/>
        </w:rPr>
        <w:t>PT</w:t>
      </w:r>
      <w:r>
        <w:rPr>
          <w:rFonts w:ascii="Trebuchet MS" w:hAnsi="Trebuchet MS"/>
          <w:i/>
          <w:color w:val="26486C"/>
          <w:sz w:val="22"/>
        </w:rPr>
        <w:t> </w:t>
      </w:r>
      <w:r>
        <w:rPr>
          <w:color w:val="26486C"/>
          <w:sz w:val="22"/>
        </w:rPr>
        <w:t>(14-item scale, range=0-70), and </w:t>
      </w:r>
      <w:r>
        <w:rPr>
          <w:rFonts w:ascii="Trebuchet MS" w:hAnsi="Trebuchet MS"/>
          <w:i/>
          <w:color w:val="26486C"/>
          <w:sz w:val="22"/>
        </w:rPr>
        <w:t>number</w:t>
      </w:r>
      <w:r>
        <w:rPr>
          <w:rFonts w:ascii="Trebuchet MS" w:hAnsi="Trebuchet MS"/>
          <w:i/>
          <w:color w:val="26486C"/>
          <w:spacing w:val="-9"/>
          <w:sz w:val="22"/>
        </w:rPr>
        <w:t> </w:t>
      </w:r>
      <w:r>
        <w:rPr>
          <w:rFonts w:ascii="Trebuchet MS" w:hAnsi="Trebuchet MS"/>
          <w:i/>
          <w:color w:val="26486C"/>
          <w:sz w:val="22"/>
        </w:rPr>
        <w:t>of</w:t>
      </w:r>
      <w:r>
        <w:rPr>
          <w:rFonts w:ascii="Trebuchet MS" w:hAnsi="Trebuchet MS"/>
          <w:i/>
          <w:color w:val="26486C"/>
          <w:spacing w:val="-9"/>
          <w:sz w:val="22"/>
        </w:rPr>
        <w:t> </w:t>
      </w:r>
      <w:r>
        <w:rPr>
          <w:rFonts w:ascii="Trebuchet MS" w:hAnsi="Trebuchet MS"/>
          <w:i/>
          <w:color w:val="26486C"/>
          <w:sz w:val="22"/>
        </w:rPr>
        <w:t>pain</w:t>
      </w:r>
      <w:r>
        <w:rPr>
          <w:rFonts w:ascii="Trebuchet MS" w:hAnsi="Trebuchet MS"/>
          <w:i/>
          <w:color w:val="26486C"/>
          <w:spacing w:val="-9"/>
          <w:sz w:val="22"/>
        </w:rPr>
        <w:t> </w:t>
      </w:r>
      <w:r>
        <w:rPr>
          <w:rFonts w:ascii="Trebuchet MS" w:hAnsi="Trebuchet MS"/>
          <w:i/>
          <w:color w:val="26486C"/>
          <w:sz w:val="22"/>
        </w:rPr>
        <w:t>sites</w:t>
      </w:r>
      <w:r>
        <w:rPr>
          <w:rFonts w:ascii="Trebuchet MS" w:hAnsi="Trebuchet MS"/>
          <w:i/>
          <w:color w:val="26486C"/>
          <w:spacing w:val="-1"/>
          <w:sz w:val="22"/>
        </w:rPr>
        <w:t> </w:t>
      </w:r>
      <w:r>
        <w:rPr>
          <w:color w:val="26486C"/>
          <w:sz w:val="22"/>
        </w:rPr>
        <w:t>(sum of PT scores &gt;0 for 14 sites).</w:t>
      </w:r>
    </w:p>
    <w:p>
      <w:pPr>
        <w:pStyle w:val="BodyText"/>
        <w:spacing w:before="102"/>
      </w:pPr>
    </w:p>
    <w:p>
      <w:pPr>
        <w:pStyle w:val="Heading1"/>
        <w:spacing w:before="1"/>
      </w:pPr>
      <w:r>
        <w:rPr>
          <w:color w:val="B1063A"/>
          <w:spacing w:val="-2"/>
        </w:rPr>
        <w:t>Results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257" w:after="0"/>
        <w:ind w:left="327" w:right="87" w:hanging="194"/>
        <w:jc w:val="left"/>
        <w:rPr>
          <w:sz w:val="22"/>
        </w:rPr>
      </w:pPr>
      <w:r>
        <w:rPr>
          <w:color w:val="26486C"/>
          <w:w w:val="105"/>
          <w:sz w:val="22"/>
        </w:rPr>
        <w:t>In this sample of 101 persons, predominately female (80%) and Mexican American (97%) participants had an average BMI of 34.3 (World Health Organization categories: over weight, 27%; obese, 55%; extremely obese, 19%), a pain intensity of 6.84, a PT score of 28.0, and 8.4 pain sites.</w:t>
      </w:r>
    </w:p>
    <w:p>
      <w:pPr>
        <w:pStyle w:val="BodyText"/>
        <w:spacing w:line="254" w:lineRule="exact"/>
        <w:ind w:left="327"/>
      </w:pPr>
      <w:r>
        <w:rPr>
          <w:color w:val="26486C"/>
        </w:rPr>
        <w:t>(Table</w:t>
      </w:r>
      <w:r>
        <w:rPr>
          <w:color w:val="26486C"/>
          <w:spacing w:val="11"/>
        </w:rPr>
        <w:t> </w:t>
      </w:r>
      <w:r>
        <w:rPr>
          <w:color w:val="26486C"/>
          <w:spacing w:val="-5"/>
        </w:rPr>
        <w:t>1)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85" w:hanging="194"/>
        <w:jc w:val="left"/>
        <w:rPr>
          <w:sz w:val="22"/>
        </w:rPr>
      </w:pPr>
      <w:r>
        <w:rPr>
          <w:color w:val="26486C"/>
          <w:w w:val="105"/>
          <w:sz w:val="22"/>
        </w:rPr>
        <w:t>Associations between BMI and pain intensity were not significant (r=0.16, p=0.112), while the relationships between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BMI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PT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(r=0.29,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p=.004)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BMI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number of pain sites (r=0.24, p=0.017) were significant. (Table 2)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42" w:hanging="194"/>
        <w:jc w:val="left"/>
        <w:rPr>
          <w:sz w:val="22"/>
        </w:rPr>
      </w:pPr>
      <w:r>
        <w:rPr>
          <w:color w:val="26486C"/>
          <w:sz w:val="22"/>
        </w:rPr>
        <w:t>One-way ANOVAs showed nonsignificant, but important</w:t>
      </w:r>
      <w:r>
        <w:rPr>
          <w:color w:val="26486C"/>
          <w:spacing w:val="40"/>
          <w:w w:val="110"/>
          <w:sz w:val="22"/>
        </w:rPr>
        <w:t> </w:t>
      </w:r>
      <w:r>
        <w:rPr>
          <w:color w:val="26486C"/>
          <w:w w:val="110"/>
          <w:sz w:val="22"/>
        </w:rPr>
        <w:t>trends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by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BMI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levels,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with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greater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obesity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associated</w:t>
      </w:r>
      <w:r>
        <w:rPr>
          <w:color w:val="26486C"/>
          <w:spacing w:val="-7"/>
          <w:w w:val="110"/>
          <w:sz w:val="22"/>
        </w:rPr>
        <w:t> </w:t>
      </w:r>
      <w:r>
        <w:rPr>
          <w:color w:val="26486C"/>
          <w:w w:val="110"/>
          <w:sz w:val="22"/>
        </w:rPr>
        <w:t>with </w:t>
      </w:r>
      <w:r>
        <w:rPr>
          <w:color w:val="26486C"/>
          <w:sz w:val="22"/>
        </w:rPr>
        <w:t>greater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negative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pain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outcomes.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It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appears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that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the</w:t>
      </w:r>
      <w:r>
        <w:rPr>
          <w:color w:val="26486C"/>
          <w:spacing w:val="38"/>
          <w:sz w:val="22"/>
        </w:rPr>
        <w:t> </w:t>
      </w:r>
      <w:r>
        <w:rPr>
          <w:color w:val="26486C"/>
          <w:sz w:val="22"/>
        </w:rPr>
        <w:t>degree </w:t>
      </w:r>
      <w:r>
        <w:rPr>
          <w:color w:val="26486C"/>
          <w:w w:val="110"/>
          <w:sz w:val="22"/>
        </w:rPr>
        <w:t>of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obesity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affects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PT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and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number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of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pain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sites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more</w:t>
      </w:r>
      <w:r>
        <w:rPr>
          <w:color w:val="26486C"/>
          <w:spacing w:val="-2"/>
          <w:w w:val="110"/>
          <w:sz w:val="22"/>
        </w:rPr>
        <w:t> </w:t>
      </w:r>
      <w:r>
        <w:rPr>
          <w:color w:val="26486C"/>
          <w:w w:val="110"/>
          <w:sz w:val="22"/>
        </w:rPr>
        <w:t>than pain</w:t>
      </w:r>
      <w:r>
        <w:rPr>
          <w:color w:val="26486C"/>
          <w:w w:val="110"/>
          <w:sz w:val="22"/>
        </w:rPr>
        <w:t> intensity.</w:t>
      </w:r>
    </w:p>
    <w:p>
      <w:pPr>
        <w:spacing w:before="123"/>
        <w:ind w:left="137" w:right="0" w:firstLine="0"/>
        <w:jc w:val="left"/>
        <w:rPr>
          <w:rFonts w:ascii="Century Gothic"/>
          <w:b/>
          <w:sz w:val="19"/>
        </w:rPr>
      </w:pPr>
      <w:r>
        <w:rPr/>
        <w:br w:type="column"/>
      </w:r>
      <w:r>
        <w:rPr>
          <w:rFonts w:ascii="Century Gothic"/>
          <w:b/>
          <w:color w:val="26486C"/>
          <w:w w:val="90"/>
          <w:sz w:val="19"/>
        </w:rPr>
        <w:t>Table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1.</w:t>
      </w:r>
      <w:r>
        <w:rPr>
          <w:rFonts w:ascii="Century Gothic"/>
          <w:b/>
          <w:color w:val="26486C"/>
          <w:spacing w:val="-5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Demographics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and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Pain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Measures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by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Age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Group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(n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w w:val="90"/>
          <w:sz w:val="19"/>
        </w:rPr>
        <w:t>=</w:t>
      </w:r>
      <w:r>
        <w:rPr>
          <w:rFonts w:ascii="Century Gothic"/>
          <w:b/>
          <w:color w:val="26486C"/>
          <w:spacing w:val="-4"/>
          <w:sz w:val="19"/>
        </w:rPr>
        <w:t> </w:t>
      </w:r>
      <w:r>
        <w:rPr>
          <w:rFonts w:ascii="Century Gothic"/>
          <w:b/>
          <w:color w:val="26486C"/>
          <w:spacing w:val="-4"/>
          <w:w w:val="90"/>
          <w:sz w:val="19"/>
        </w:rPr>
        <w:t>101)</w:t>
      </w: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spacing w:before="160"/>
        <w:rPr>
          <w:rFonts w:ascii="Century Gothic"/>
          <w:b/>
          <w:sz w:val="19"/>
        </w:rPr>
      </w:pPr>
    </w:p>
    <w:p>
      <w:pPr>
        <w:spacing w:before="0"/>
        <w:ind w:left="134" w:right="0" w:firstLine="0"/>
        <w:jc w:val="left"/>
        <w:rPr>
          <w:rFonts w:ascii="Century Gothic"/>
          <w:b/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8949062</wp:posOffset>
                </wp:positionH>
                <wp:positionV relativeFrom="paragraph">
                  <wp:posOffset>-3454122</wp:posOffset>
                </wp:positionV>
                <wp:extent cx="5801995" cy="3237229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801995" cy="32372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6486C"/>
                                <w:left w:val="single" w:sz="4" w:space="0" w:color="26486C"/>
                                <w:bottom w:val="single" w:sz="4" w:space="0" w:color="26486C"/>
                                <w:right w:val="single" w:sz="4" w:space="0" w:color="26486C"/>
                                <w:insideH w:val="single" w:sz="4" w:space="0" w:color="26486C"/>
                                <w:insideV w:val="single" w:sz="4" w:space="0" w:color="26486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155"/>
                              <w:gridCol w:w="948"/>
                              <w:gridCol w:w="952"/>
                              <w:gridCol w:w="951"/>
                            </w:tblGrid>
                            <w:tr>
                              <w:trPr>
                                <w:trHeight w:val="323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1" w:type="dxa"/>
                                  <w:gridSpan w:val="3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98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Mean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(SD)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5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rFonts w:ascii="Century Gothic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w w:val="90"/>
                                      <w:sz w:val="15"/>
                                    </w:rPr>
                                    <w:t>Demographic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7"/>
                                      <w:w w:val="9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2"/>
                                      <w:sz w:val="15"/>
                                    </w:rPr>
                                    <w:t>characteristics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32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40-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</w:rPr>
                                    <w:t>49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0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n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w w:val="105"/>
                                      <w:sz w:val="15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31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50-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</w:rPr>
                                    <w:t>59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29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n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w w:val="105"/>
                                      <w:sz w:val="15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15"/>
                                    <w:ind w:left="43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</w:rPr>
                                    <w:t>60+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43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n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w w:val="105"/>
                                      <w:sz w:val="15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2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1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Gender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2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81%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3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68%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07"/>
                                    <w:rPr>
                                      <w:rFonts w:ascii="Century Gothic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2"/>
                                      <w:w w:val="90"/>
                                      <w:sz w:val="15"/>
                                    </w:rPr>
                                    <w:t>Anthropometric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2"/>
                                      <w:sz w:val="15"/>
                                    </w:rPr>
                                    <w:t>measures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1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93"/>
                                    <w:ind w:left="250" w:right="2816" w:hanging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BMI</w:t>
                                  </w:r>
                                  <w:r>
                                    <w:rPr>
                                      <w:color w:val="26486C"/>
                                      <w:spacing w:val="-1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(calculated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from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height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weight) Overweight</w:t>
                                  </w:r>
                                  <w:r>
                                    <w:rPr>
                                      <w:color w:val="26486C"/>
                                      <w:spacing w:val="-1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(25-29.5)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3" w:lineRule="exact"/>
                                    <w:ind w:left="2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Obese</w:t>
                                  </w:r>
                                  <w:r>
                                    <w:rPr>
                                      <w:color w:val="26486C"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(30-39.5)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2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Extremely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obese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(39.6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greater)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28%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6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57%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6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15%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28%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44%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28%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21%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68%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11%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1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Waist</w:t>
                                  </w:r>
                                  <w:r>
                                    <w:rPr>
                                      <w:color w:val="26486C"/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circumference</w:t>
                                  </w:r>
                                  <w:r>
                                    <w:rPr>
                                      <w:color w:val="26486C"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(inches)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21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42.7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(5.8)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2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43.5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(5.5)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21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43.4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(4.8)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107"/>
                                    <w:rPr>
                                      <w:rFonts w:ascii="Century Gothic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w w:val="90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6486C"/>
                                      <w:spacing w:val="-2"/>
                                      <w:sz w:val="15"/>
                                    </w:rPr>
                                    <w:t>Measures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9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left="1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intensity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(0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6486C"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10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 scale)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left="25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6.9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(2.1)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left="24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7.3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(2.3)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left="24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5.8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(3.0)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troublesomeness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(14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sites;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color w:val="26486C"/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5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response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set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where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5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extremely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troublesome)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30.0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(13.4)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7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27.4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(15.2)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7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24.1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(13.2)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97" w:hRule="atLeast"/>
                              </w:trPr>
                              <w:tc>
                                <w:tcPr>
                                  <w:tcW w:w="6155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92"/>
                                    <w:ind w:left="202" w:right="4738" w:hanging="9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Number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sites 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3" w:lineRule="exact"/>
                                    <w:ind w:left="2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3-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5"/>
                                    </w:rPr>
                                    <w:t>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202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</w:rPr>
                                    <w:t>≥6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4" w:right="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4%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6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13%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6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83%</w:t>
                                  </w:r>
                                </w:p>
                              </w:tc>
                              <w:tc>
                                <w:tcPr>
                                  <w:tcW w:w="952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3%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4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17%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4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81%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rPr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16%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11%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3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74%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4.650574pt;margin-top:-271.97818pt;width:456.85pt;height:254.9pt;mso-position-horizontal-relative:page;mso-position-vertical-relative:paragraph;z-index:15729664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6486C"/>
                          <w:left w:val="single" w:sz="4" w:space="0" w:color="26486C"/>
                          <w:bottom w:val="single" w:sz="4" w:space="0" w:color="26486C"/>
                          <w:right w:val="single" w:sz="4" w:space="0" w:color="26486C"/>
                          <w:insideH w:val="single" w:sz="4" w:space="0" w:color="26486C"/>
                          <w:insideV w:val="single" w:sz="4" w:space="0" w:color="26486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155"/>
                        <w:gridCol w:w="948"/>
                        <w:gridCol w:w="952"/>
                        <w:gridCol w:w="951"/>
                      </w:tblGrid>
                      <w:tr>
                        <w:trPr>
                          <w:trHeight w:val="323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51" w:type="dxa"/>
                            <w:gridSpan w:val="3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2"/>
                              <w:ind w:left="986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Mean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(SD)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10"/>
                                <w:sz w:val="15"/>
                              </w:rPr>
                              <w:t>%</w:t>
                            </w:r>
                          </w:p>
                        </w:tc>
                      </w:tr>
                      <w:tr>
                        <w:trPr>
                          <w:trHeight w:val="553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6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rFonts w:ascii="Century Gothic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6486C"/>
                                <w:w w:val="90"/>
                                <w:sz w:val="15"/>
                              </w:rPr>
                              <w:t>Demographic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7"/>
                                <w:w w:val="9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2"/>
                                <w:sz w:val="15"/>
                              </w:rPr>
                              <w:t>characteristics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15"/>
                              <w:ind w:left="32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40-</w:t>
                            </w:r>
                            <w:r>
                              <w:rPr>
                                <w:color w:val="26486C"/>
                                <w:spacing w:val="-5"/>
                                <w:sz w:val="15"/>
                              </w:rPr>
                              <w:t>49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0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n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5"/>
                                <w:w w:val="105"/>
                                <w:sz w:val="15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15"/>
                              <w:ind w:left="31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50-</w:t>
                            </w:r>
                            <w:r>
                              <w:rPr>
                                <w:color w:val="26486C"/>
                                <w:spacing w:val="-5"/>
                                <w:sz w:val="15"/>
                              </w:rPr>
                              <w:t>59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296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n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5"/>
                                <w:w w:val="105"/>
                                <w:sz w:val="15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15"/>
                              <w:ind w:left="43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5"/>
                              </w:rPr>
                              <w:t>60+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43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n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5"/>
                                <w:w w:val="105"/>
                                <w:sz w:val="15"/>
                              </w:rPr>
                              <w:t>19</w:t>
                            </w:r>
                          </w:p>
                        </w:tc>
                      </w:tr>
                      <w:tr>
                        <w:trPr>
                          <w:trHeight w:val="572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36"/>
                              <w:ind w:left="1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Gender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2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42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42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81%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42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3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68%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107"/>
                              <w:rPr>
                                <w:rFonts w:ascii="Century Gothic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2"/>
                                <w:w w:val="90"/>
                                <w:sz w:val="15"/>
                              </w:rPr>
                              <w:t>Anthropometric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2"/>
                                <w:sz w:val="15"/>
                              </w:rPr>
                              <w:t>measures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1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line="249" w:lineRule="auto" w:before="93"/>
                              <w:ind w:left="250" w:right="2816" w:hanging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BMI</w:t>
                            </w:r>
                            <w:r>
                              <w:rPr>
                                <w:color w:val="26486C"/>
                                <w:spacing w:val="-1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(calculated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from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height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weight) Overweight</w:t>
                            </w:r>
                            <w:r>
                              <w:rPr>
                                <w:color w:val="26486C"/>
                                <w:spacing w:val="-1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(25-29.5)</w:t>
                            </w:r>
                          </w:p>
                          <w:p>
                            <w:pPr>
                              <w:pStyle w:val="TableParagraph"/>
                              <w:spacing w:line="173" w:lineRule="exact"/>
                              <w:ind w:left="2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Obese</w:t>
                            </w:r>
                            <w:r>
                              <w:rPr>
                                <w:color w:val="26486C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(30-39.5)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2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Extremely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obese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(39.6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greater)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100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28%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6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57%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6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15%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9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28%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44%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28%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9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21%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68%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11%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3"/>
                              <w:ind w:left="1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Waist</w:t>
                            </w:r>
                            <w:r>
                              <w:rPr>
                                <w:color w:val="26486C"/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circumference</w:t>
                            </w:r>
                            <w:r>
                              <w:rPr>
                                <w:color w:val="26486C"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(inches)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218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42.7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(5.8)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3"/>
                              <w:ind w:left="2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43.5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(5.5)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3"/>
                              <w:ind w:left="21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43.4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(4.8)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77"/>
                              <w:ind w:left="107"/>
                              <w:rPr>
                                <w:rFonts w:ascii="Century Gothic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6486C"/>
                                <w:w w:val="90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6486C"/>
                                <w:spacing w:val="-2"/>
                                <w:sz w:val="15"/>
                              </w:rPr>
                              <w:t>Measures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9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5"/>
                              <w:ind w:left="1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intensity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(0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–</w:t>
                            </w:r>
                            <w:r>
                              <w:rPr>
                                <w:color w:val="26486C"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10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 scale)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5"/>
                              <w:ind w:left="25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6.9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(2.1)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5"/>
                              <w:ind w:left="24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7.3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(2.3)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5"/>
                              <w:ind w:left="248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5.8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(3.0)</w:t>
                            </w:r>
                          </w:p>
                        </w:tc>
                      </w:tr>
                      <w:tr>
                        <w:trPr>
                          <w:trHeight w:val="344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6"/>
                              <w:ind w:left="1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troublesomeness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(14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sites;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0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color w:val="26486C"/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5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response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set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where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5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extremely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troublesome)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6"/>
                              <w:ind w:left="18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30.0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(13.4)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6"/>
                              <w:ind w:left="17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27.4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(15.2)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6"/>
                              <w:ind w:left="171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24.1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(13.2)</w:t>
                            </w:r>
                          </w:p>
                        </w:tc>
                      </w:tr>
                      <w:tr>
                        <w:trPr>
                          <w:trHeight w:val="897" w:hRule="atLeast"/>
                        </w:trPr>
                        <w:tc>
                          <w:tcPr>
                            <w:tcW w:w="6155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line="249" w:lineRule="auto" w:before="92"/>
                              <w:ind w:left="202" w:right="4738" w:hanging="96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Number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sites </w:t>
                            </w:r>
                            <w:r>
                              <w:rPr>
                                <w:color w:val="26486C"/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  <w:p>
                            <w:pPr>
                              <w:pStyle w:val="TableParagraph"/>
                              <w:spacing w:line="173" w:lineRule="exact"/>
                              <w:ind w:left="202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3-</w:t>
                            </w:r>
                            <w:r>
                              <w:rPr>
                                <w:color w:val="26486C"/>
                                <w:spacing w:val="-10"/>
                                <w:sz w:val="15"/>
                              </w:rPr>
                              <w:t>5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202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5"/>
                              </w:rPr>
                              <w:t>≥6</w:t>
                            </w:r>
                          </w:p>
                        </w:tc>
                        <w:tc>
                          <w:tcPr>
                            <w:tcW w:w="94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9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4" w:right="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4%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6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13%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6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83%</w:t>
                            </w:r>
                          </w:p>
                        </w:tc>
                        <w:tc>
                          <w:tcPr>
                            <w:tcW w:w="952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8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3%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4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17%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4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81%</w:t>
                            </w:r>
                          </w:p>
                        </w:tc>
                        <w:tc>
                          <w:tcPr>
                            <w:tcW w:w="95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9"/>
                              <w:rPr>
                                <w:sz w:val="15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16%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11%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35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74%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8943566</wp:posOffset>
                </wp:positionH>
                <wp:positionV relativeFrom="paragraph">
                  <wp:posOffset>198918</wp:posOffset>
                </wp:positionV>
                <wp:extent cx="5807075" cy="1883409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807075" cy="1883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6486C"/>
                                <w:left w:val="single" w:sz="4" w:space="0" w:color="26486C"/>
                                <w:bottom w:val="single" w:sz="4" w:space="0" w:color="26486C"/>
                                <w:right w:val="single" w:sz="4" w:space="0" w:color="26486C"/>
                                <w:insideH w:val="single" w:sz="4" w:space="0" w:color="26486C"/>
                                <w:insideV w:val="single" w:sz="4" w:space="0" w:color="26486C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94"/>
                              <w:gridCol w:w="1031"/>
                              <w:gridCol w:w="1006"/>
                              <w:gridCol w:w="1069"/>
                              <w:gridCol w:w="1058"/>
                              <w:gridCol w:w="1361"/>
                            </w:tblGrid>
                            <w:tr>
                              <w:trPr>
                                <w:trHeight w:val="327" w:hRule="atLeast"/>
                              </w:trPr>
                              <w:tc>
                                <w:tcPr>
                                  <w:tcW w:w="3494" w:type="dxa"/>
                                  <w:vMerge w:val="restart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5" w:type="dxa"/>
                                  <w:gridSpan w:val="5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31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Mean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(SD)</w:t>
                                  </w:r>
                                  <w:r>
                                    <w:rPr>
                                      <w:color w:val="26486C"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5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7" w:hRule="atLeast"/>
                              </w:trPr>
                              <w:tc>
                                <w:tcPr>
                                  <w:tcW w:w="349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3F0DA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4"/>
                                      <w:sz w:val="15"/>
                                    </w:rPr>
                                    <w:t>BMI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5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14" w:right="1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</w:rPr>
                                    <w:t>WC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sz w:val="15"/>
                                      <w:vertAlign w:val="superscript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58"/>
                                    <w:ind w:left="74" w:right="53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Overweight: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 BMI</w:t>
                                  </w:r>
                                  <w:r>
                                    <w:rPr>
                                      <w:color w:val="26486C"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25-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5"/>
                                    </w:rPr>
                                    <w:t>29.4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3" w:lineRule="exact"/>
                                    <w:ind w:left="74" w:right="55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n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w w:val="105"/>
                                      <w:sz w:val="1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58"/>
                                    <w:ind w:left="29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Obese: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BMI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30.0-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5"/>
                                    </w:rPr>
                                    <w:t>39.9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n</w:t>
                                  </w:r>
                                  <w:r>
                                    <w:rPr>
                                      <w:color w:val="26486C"/>
                                      <w:spacing w:val="-1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5"/>
                                      <w:w w:val="105"/>
                                      <w:sz w:val="15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58"/>
                                    <w:ind w:left="94" w:right="72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Extremely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obese: BMI</w:t>
                                  </w:r>
                                  <w:r>
                                    <w:rPr>
                                      <w:color w:val="26486C"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40.0</w:t>
                                  </w:r>
                                  <w:r>
                                    <w:rPr>
                                      <w:color w:val="26486C"/>
                                      <w:spacing w:val="-1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6486C"/>
                                      <w:spacing w:val="-1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above n = 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8" w:hRule="atLeast"/>
                              </w:trPr>
                              <w:tc>
                                <w:tcPr>
                                  <w:tcW w:w="3494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81"/>
                                    <w:ind w:left="1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Chronic</w:t>
                                  </w:r>
                                  <w:r>
                                    <w:rPr>
                                      <w:color w:val="26486C"/>
                                      <w:spacing w:val="-1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widespread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(above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below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6486C"/>
                                      <w:spacing w:val="-1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waist, </w:t>
                                  </w: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on left and right side of body for &gt; 3 months)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.117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(.245)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.078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(.440)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74" w:right="55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48%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66%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94" w:right="7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63%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3494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ind w:left="1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intensity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.159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(.112)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.178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(.074)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29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6.3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(2.7)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2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7.1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(2.2)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44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6.9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(2.5)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8" w:hRule="atLeast"/>
                              </w:trPr>
                              <w:tc>
                                <w:tcPr>
                                  <w:tcW w:w="3494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1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troublesomeness</w:t>
                                  </w:r>
                                  <w:r>
                                    <w:rPr>
                                      <w:color w:val="26486C"/>
                                      <w:spacing w:val="1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4"/>
                                      <w:sz w:val="15"/>
                                    </w:rPr>
                                    <w:t>(PT)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3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.289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(.004)*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3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.208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(.038)*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3"/>
                                    <w:ind w:left="21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25.3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(13.4)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3"/>
                                    <w:ind w:left="20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27.0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(13.2)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3"/>
                                    <w:ind w:left="36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34.4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(16.0)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3494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Number of</w:t>
                                  </w:r>
                                  <w:r>
                                    <w:rPr>
                                      <w:color w:val="26486C"/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pain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sites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.238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(.017)*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.202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(.043)*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29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7.9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(3.6)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2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8.3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(3.3)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441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9.4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(3.1)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3494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109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w w:val="105"/>
                                      <w:sz w:val="15"/>
                                    </w:rPr>
                                    <w:t>Pain</w:t>
                                  </w:r>
                                  <w:r>
                                    <w:rPr>
                                      <w:color w:val="26486C"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w w:val="105"/>
                                      <w:sz w:val="15"/>
                                    </w:rPr>
                                    <w:t>interference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10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-.082</w:t>
                                  </w:r>
                                  <w:r>
                                    <w:rPr>
                                      <w:color w:val="26486C"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(.413)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1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z w:val="15"/>
                                    </w:rPr>
                                    <w:t>.093</w:t>
                                  </w:r>
                                  <w:r>
                                    <w:rPr>
                                      <w:color w:val="26486C"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color w:val="26486C"/>
                                      <w:spacing w:val="-2"/>
                                      <w:sz w:val="15"/>
                                    </w:rPr>
                                    <w:t>(.356)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74" w:right="55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74%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9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66%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shd w:val="clear" w:color="auto" w:fill="F3F0DA"/>
                                </w:tcPr>
                                <w:p>
                                  <w:pPr>
                                    <w:pStyle w:val="TableParagraph"/>
                                    <w:spacing w:before="84"/>
                                    <w:ind w:left="94" w:right="7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6486C"/>
                                      <w:spacing w:val="-5"/>
                                      <w:w w:val="110"/>
                                      <w:sz w:val="15"/>
                                    </w:rPr>
                                    <w:t>63%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4.217834pt;margin-top:15.662887pt;width:457.25pt;height:148.3pt;mso-position-horizontal-relative:page;mso-position-vertical-relative:paragraph;z-index:15730176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6486C"/>
                          <w:left w:val="single" w:sz="4" w:space="0" w:color="26486C"/>
                          <w:bottom w:val="single" w:sz="4" w:space="0" w:color="26486C"/>
                          <w:right w:val="single" w:sz="4" w:space="0" w:color="26486C"/>
                          <w:insideH w:val="single" w:sz="4" w:space="0" w:color="26486C"/>
                          <w:insideV w:val="single" w:sz="4" w:space="0" w:color="26486C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94"/>
                        <w:gridCol w:w="1031"/>
                        <w:gridCol w:w="1006"/>
                        <w:gridCol w:w="1069"/>
                        <w:gridCol w:w="1058"/>
                        <w:gridCol w:w="1361"/>
                      </w:tblGrid>
                      <w:tr>
                        <w:trPr>
                          <w:trHeight w:val="327" w:hRule="atLeast"/>
                        </w:trPr>
                        <w:tc>
                          <w:tcPr>
                            <w:tcW w:w="3494" w:type="dxa"/>
                            <w:vMerge w:val="restart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25" w:type="dxa"/>
                            <w:gridSpan w:val="5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7"/>
                              <w:ind w:left="31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Mean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(SD)</w:t>
                            </w:r>
                            <w:r>
                              <w:rPr>
                                <w:color w:val="26486C"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10"/>
                                <w:sz w:val="15"/>
                              </w:rPr>
                              <w:t>%</w:t>
                            </w:r>
                          </w:p>
                        </w:tc>
                      </w:tr>
                      <w:tr>
                        <w:trPr>
                          <w:trHeight w:val="657" w:hRule="atLeast"/>
                        </w:trPr>
                        <w:tc>
                          <w:tcPr>
                            <w:tcW w:w="3494" w:type="dxa"/>
                            <w:vMerge/>
                            <w:tcBorders>
                              <w:top w:val="nil"/>
                            </w:tcBorders>
                            <w:shd w:val="clear" w:color="auto" w:fill="F3F0DA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58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4"/>
                                <w:sz w:val="15"/>
                              </w:rPr>
                              <w:t>BMI</w:t>
                            </w:r>
                            <w:r>
                              <w:rPr>
                                <w:color w:val="26486C"/>
                                <w:spacing w:val="-4"/>
                                <w:sz w:val="15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58"/>
                              <w:ind w:left="14" w:right="1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sz w:val="15"/>
                              </w:rPr>
                              <w:t>WC</w:t>
                            </w:r>
                            <w:r>
                              <w:rPr>
                                <w:color w:val="26486C"/>
                                <w:spacing w:val="-5"/>
                                <w:sz w:val="15"/>
                                <w:vertAlign w:val="superscript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line="249" w:lineRule="auto" w:before="58"/>
                              <w:ind w:left="74" w:right="53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Overweight: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 BMI</w:t>
                            </w:r>
                            <w:r>
                              <w:rPr>
                                <w:color w:val="26486C"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25-</w:t>
                            </w:r>
                            <w:r>
                              <w:rPr>
                                <w:color w:val="26486C"/>
                                <w:spacing w:val="-4"/>
                                <w:sz w:val="15"/>
                              </w:rPr>
                              <w:t>29.4</w:t>
                            </w:r>
                          </w:p>
                          <w:p>
                            <w:pPr>
                              <w:pStyle w:val="TableParagraph"/>
                              <w:spacing w:line="173" w:lineRule="exact"/>
                              <w:ind w:left="74" w:right="5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n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5"/>
                                <w:w w:val="105"/>
                                <w:sz w:val="1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58"/>
                              <w:ind w:left="29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Obese: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BMI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30.0-</w:t>
                            </w:r>
                            <w:r>
                              <w:rPr>
                                <w:color w:val="26486C"/>
                                <w:spacing w:val="-4"/>
                                <w:sz w:val="15"/>
                              </w:rPr>
                              <w:t>39.9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n</w:t>
                            </w:r>
                            <w:r>
                              <w:rPr>
                                <w:color w:val="26486C"/>
                                <w:spacing w:val="-1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color w:val="26486C"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5"/>
                                <w:w w:val="105"/>
                                <w:sz w:val="15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line="249" w:lineRule="auto" w:before="58"/>
                              <w:ind w:left="94" w:right="72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Extremely</w:t>
                            </w:r>
                            <w:r>
                              <w:rPr>
                                <w:color w:val="26486C"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obese: BMI</w:t>
                            </w:r>
                            <w:r>
                              <w:rPr>
                                <w:color w:val="26486C"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40.0</w:t>
                            </w:r>
                            <w:r>
                              <w:rPr>
                                <w:color w:val="26486C"/>
                                <w:spacing w:val="-1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color w:val="26486C"/>
                                <w:spacing w:val="-1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above n = 19</w:t>
                            </w:r>
                          </w:p>
                        </w:tc>
                      </w:tr>
                      <w:tr>
                        <w:trPr>
                          <w:trHeight w:val="518" w:hRule="atLeast"/>
                        </w:trPr>
                        <w:tc>
                          <w:tcPr>
                            <w:tcW w:w="3494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line="249" w:lineRule="auto" w:before="81"/>
                              <w:ind w:left="1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Chronic</w:t>
                            </w:r>
                            <w:r>
                              <w:rPr>
                                <w:color w:val="26486C"/>
                                <w:spacing w:val="-1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widespread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(above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below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color w:val="26486C"/>
                                <w:spacing w:val="-1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waist, </w:t>
                            </w: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on left and right side of body for &gt; 3 months)</w:t>
                            </w: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.117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(.245)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.078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(.440)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74" w:right="5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48%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66%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94" w:right="7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63%</w:t>
                            </w:r>
                          </w:p>
                        </w:tc>
                      </w:tr>
                      <w:tr>
                        <w:trPr>
                          <w:trHeight w:val="361" w:hRule="atLeast"/>
                        </w:trPr>
                        <w:tc>
                          <w:tcPr>
                            <w:tcW w:w="3494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3"/>
                              <w:ind w:left="1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intensity</w:t>
                            </w: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.159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(.112)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.178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(.074)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29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6.3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(2.7)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28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7.1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(2.2)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4"/>
                              <w:ind w:left="441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6.9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(2.5)</w:t>
                            </w:r>
                          </w:p>
                        </w:tc>
                      </w:tr>
                      <w:tr>
                        <w:trPr>
                          <w:trHeight w:val="338" w:hRule="atLeast"/>
                        </w:trPr>
                        <w:tc>
                          <w:tcPr>
                            <w:tcW w:w="3494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2"/>
                              <w:ind w:left="1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1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troublesomeness</w:t>
                            </w:r>
                            <w:r>
                              <w:rPr>
                                <w:color w:val="26486C"/>
                                <w:spacing w:val="1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4"/>
                                <w:sz w:val="15"/>
                              </w:rPr>
                              <w:t>(PT)</w:t>
                            </w: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3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.289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(.004)*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3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.208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(.038)*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3"/>
                              <w:ind w:left="218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25.3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(13.4)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3"/>
                              <w:ind w:left="20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27.0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(13.2)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3"/>
                              <w:ind w:left="36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34.4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(16.0)</w:t>
                            </w:r>
                          </w:p>
                        </w:tc>
                      </w:tr>
                      <w:tr>
                        <w:trPr>
                          <w:trHeight w:val="361" w:hRule="atLeast"/>
                        </w:trPr>
                        <w:tc>
                          <w:tcPr>
                            <w:tcW w:w="3494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1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Number of</w:t>
                            </w:r>
                            <w:r>
                              <w:rPr>
                                <w:color w:val="26486C"/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z w:val="15"/>
                              </w:rPr>
                              <w:t>pain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sites</w:t>
                            </w: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.238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(.017)*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.202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(.043)*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295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7.9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(3.6)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28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8.3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(3.3)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95"/>
                              <w:ind w:left="441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9.4</w:t>
                            </w:r>
                            <w:r>
                              <w:rPr>
                                <w:color w:val="26486C"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(3.1)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3494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109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w w:val="105"/>
                                <w:sz w:val="15"/>
                              </w:rPr>
                              <w:t>Pain</w:t>
                            </w:r>
                            <w:r>
                              <w:rPr>
                                <w:color w:val="26486C"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w w:val="105"/>
                                <w:sz w:val="15"/>
                              </w:rPr>
                              <w:t>interference</w:t>
                            </w:r>
                          </w:p>
                        </w:tc>
                        <w:tc>
                          <w:tcPr>
                            <w:tcW w:w="103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10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-.082</w:t>
                            </w:r>
                            <w:r>
                              <w:rPr>
                                <w:color w:val="26486C"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(.413)</w:t>
                            </w:r>
                          </w:p>
                        </w:tc>
                        <w:tc>
                          <w:tcPr>
                            <w:tcW w:w="1006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1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z w:val="15"/>
                              </w:rPr>
                              <w:t>.093</w:t>
                            </w:r>
                            <w:r>
                              <w:rPr>
                                <w:color w:val="26486C"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color w:val="26486C"/>
                                <w:spacing w:val="-2"/>
                                <w:sz w:val="15"/>
                              </w:rPr>
                              <w:t>(.356)</w:t>
                            </w:r>
                          </w:p>
                        </w:tc>
                        <w:tc>
                          <w:tcPr>
                            <w:tcW w:w="1069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74" w:right="55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74%</w:t>
                            </w:r>
                          </w:p>
                        </w:tc>
                        <w:tc>
                          <w:tcPr>
                            <w:tcW w:w="1058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9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66%</w:t>
                            </w:r>
                          </w:p>
                        </w:tc>
                        <w:tc>
                          <w:tcPr>
                            <w:tcW w:w="1361" w:type="dxa"/>
                            <w:shd w:val="clear" w:color="auto" w:fill="F3F0DA"/>
                          </w:tcPr>
                          <w:p>
                            <w:pPr>
                              <w:pStyle w:val="TableParagraph"/>
                              <w:spacing w:before="84"/>
                              <w:ind w:left="94" w:right="7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6486C"/>
                                <w:spacing w:val="-5"/>
                                <w:w w:val="110"/>
                                <w:sz w:val="15"/>
                              </w:rPr>
                              <w:t>63%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/>
          <w:b/>
          <w:color w:val="26486C"/>
          <w:spacing w:val="-6"/>
          <w:sz w:val="19"/>
        </w:rPr>
        <w:t>Table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2.</w:t>
      </w:r>
      <w:r>
        <w:rPr>
          <w:rFonts w:ascii="Century Gothic"/>
          <w:b/>
          <w:color w:val="26486C"/>
          <w:spacing w:val="20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Associations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between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Pain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and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BMI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Levels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(n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=</w:t>
      </w:r>
      <w:r>
        <w:rPr>
          <w:rFonts w:ascii="Century Gothic"/>
          <w:b/>
          <w:color w:val="26486C"/>
          <w:spacing w:val="-15"/>
          <w:sz w:val="19"/>
        </w:rPr>
        <w:t> </w:t>
      </w:r>
      <w:r>
        <w:rPr>
          <w:rFonts w:ascii="Century Gothic"/>
          <w:b/>
          <w:color w:val="26486C"/>
          <w:spacing w:val="-6"/>
          <w:sz w:val="19"/>
        </w:rPr>
        <w:t>101)</w:t>
      </w: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rPr>
          <w:rFonts w:ascii="Century Gothic"/>
          <w:b/>
          <w:sz w:val="19"/>
        </w:rPr>
      </w:pPr>
    </w:p>
    <w:p>
      <w:pPr>
        <w:pStyle w:val="BodyText"/>
        <w:spacing w:before="104"/>
        <w:rPr>
          <w:rFonts w:ascii="Century Gothic"/>
          <w:b/>
          <w:sz w:val="19"/>
        </w:rPr>
      </w:pPr>
    </w:p>
    <w:p>
      <w:pPr>
        <w:spacing w:before="0"/>
        <w:ind w:left="164" w:right="0" w:firstLine="0"/>
        <w:jc w:val="left"/>
        <w:rPr>
          <w:sz w:val="15"/>
        </w:rPr>
      </w:pPr>
      <w:r>
        <w:rPr>
          <w:rFonts w:ascii="Trebuchet MS"/>
          <w:i/>
          <w:color w:val="26486C"/>
          <w:spacing w:val="-2"/>
          <w:sz w:val="15"/>
        </w:rPr>
        <w:t>Note</w:t>
      </w:r>
      <w:r>
        <w:rPr>
          <w:color w:val="26486C"/>
          <w:spacing w:val="-2"/>
          <w:sz w:val="15"/>
        </w:rPr>
        <w:t>.</w:t>
      </w:r>
      <w:r>
        <w:rPr>
          <w:color w:val="26486C"/>
          <w:spacing w:val="-6"/>
          <w:sz w:val="15"/>
        </w:rPr>
        <w:t> </w:t>
      </w:r>
      <w:r>
        <w:rPr>
          <w:color w:val="26486C"/>
          <w:spacing w:val="-2"/>
          <w:sz w:val="15"/>
        </w:rPr>
        <w:t>BMI</w:t>
      </w:r>
      <w:r>
        <w:rPr>
          <w:color w:val="26486C"/>
          <w:spacing w:val="-5"/>
          <w:sz w:val="15"/>
        </w:rPr>
        <w:t> </w:t>
      </w:r>
      <w:r>
        <w:rPr>
          <w:color w:val="26486C"/>
          <w:spacing w:val="-2"/>
          <w:sz w:val="15"/>
        </w:rPr>
        <w:t>=</w:t>
      </w:r>
      <w:r>
        <w:rPr>
          <w:color w:val="26486C"/>
          <w:spacing w:val="-6"/>
          <w:sz w:val="15"/>
        </w:rPr>
        <w:t> </w:t>
      </w:r>
      <w:r>
        <w:rPr>
          <w:color w:val="26486C"/>
          <w:spacing w:val="-2"/>
          <w:sz w:val="15"/>
        </w:rPr>
        <w:t>body</w:t>
      </w:r>
      <w:r>
        <w:rPr>
          <w:color w:val="26486C"/>
          <w:spacing w:val="-5"/>
          <w:sz w:val="15"/>
        </w:rPr>
        <w:t> </w:t>
      </w:r>
      <w:r>
        <w:rPr>
          <w:color w:val="26486C"/>
          <w:spacing w:val="-2"/>
          <w:sz w:val="15"/>
        </w:rPr>
        <w:t>mass</w:t>
      </w:r>
      <w:r>
        <w:rPr>
          <w:color w:val="26486C"/>
          <w:spacing w:val="-5"/>
          <w:sz w:val="15"/>
        </w:rPr>
        <w:t> </w:t>
      </w:r>
      <w:r>
        <w:rPr>
          <w:color w:val="26486C"/>
          <w:spacing w:val="-2"/>
          <w:sz w:val="15"/>
        </w:rPr>
        <w:t>index.</w:t>
      </w:r>
      <w:r>
        <w:rPr>
          <w:color w:val="26486C"/>
          <w:spacing w:val="-13"/>
          <w:sz w:val="15"/>
        </w:rPr>
        <w:t> </w:t>
      </w:r>
      <w:r>
        <w:rPr>
          <w:color w:val="26486C"/>
          <w:spacing w:val="-2"/>
          <w:sz w:val="15"/>
        </w:rPr>
        <w:t>WC</w:t>
      </w:r>
      <w:r>
        <w:rPr>
          <w:color w:val="26486C"/>
          <w:spacing w:val="-5"/>
          <w:sz w:val="15"/>
        </w:rPr>
        <w:t> </w:t>
      </w:r>
      <w:r>
        <w:rPr>
          <w:color w:val="26486C"/>
          <w:spacing w:val="-2"/>
          <w:sz w:val="15"/>
        </w:rPr>
        <w:t>=</w:t>
      </w:r>
      <w:r>
        <w:rPr>
          <w:color w:val="26486C"/>
          <w:spacing w:val="-5"/>
          <w:sz w:val="15"/>
        </w:rPr>
        <w:t> </w:t>
      </w:r>
      <w:r>
        <w:rPr>
          <w:color w:val="26486C"/>
          <w:spacing w:val="-2"/>
          <w:sz w:val="15"/>
        </w:rPr>
        <w:t>waist</w:t>
      </w:r>
      <w:r>
        <w:rPr>
          <w:color w:val="26486C"/>
          <w:spacing w:val="-6"/>
          <w:sz w:val="15"/>
        </w:rPr>
        <w:t> </w:t>
      </w:r>
      <w:r>
        <w:rPr>
          <w:color w:val="26486C"/>
          <w:spacing w:val="-2"/>
          <w:sz w:val="15"/>
        </w:rPr>
        <w:t>circumference.</w:t>
      </w:r>
    </w:p>
    <w:p>
      <w:pPr>
        <w:spacing w:before="7"/>
        <w:ind w:left="164" w:right="0" w:firstLine="0"/>
        <w:jc w:val="left"/>
        <w:rPr>
          <w:sz w:val="15"/>
        </w:rPr>
      </w:pPr>
      <w:r>
        <w:rPr>
          <w:color w:val="26486C"/>
          <w:sz w:val="15"/>
          <w:vertAlign w:val="superscript"/>
        </w:rPr>
        <w:t>a</w:t>
      </w:r>
      <w:r>
        <w:rPr>
          <w:color w:val="26486C"/>
          <w:sz w:val="15"/>
          <w:vertAlign w:val="baseline"/>
        </w:rPr>
        <w:t>Pearson product</w:t>
      </w:r>
      <w:r>
        <w:rPr>
          <w:color w:val="26486C"/>
          <w:spacing w:val="1"/>
          <w:sz w:val="15"/>
          <w:vertAlign w:val="baseline"/>
        </w:rPr>
        <w:t> </w:t>
      </w:r>
      <w:r>
        <w:rPr>
          <w:color w:val="26486C"/>
          <w:sz w:val="15"/>
          <w:vertAlign w:val="baseline"/>
        </w:rPr>
        <w:t>moment</w:t>
      </w:r>
      <w:r>
        <w:rPr>
          <w:color w:val="26486C"/>
          <w:spacing w:val="1"/>
          <w:sz w:val="15"/>
          <w:vertAlign w:val="baseline"/>
        </w:rPr>
        <w:t> </w:t>
      </w:r>
      <w:r>
        <w:rPr>
          <w:color w:val="26486C"/>
          <w:sz w:val="15"/>
          <w:vertAlign w:val="baseline"/>
        </w:rPr>
        <w:t>correlations</w:t>
      </w:r>
      <w:r>
        <w:rPr>
          <w:color w:val="26486C"/>
          <w:spacing w:val="1"/>
          <w:sz w:val="15"/>
          <w:vertAlign w:val="baseline"/>
        </w:rPr>
        <w:t> </w:t>
      </w:r>
      <w:r>
        <w:rPr>
          <w:color w:val="26486C"/>
          <w:sz w:val="15"/>
          <w:vertAlign w:val="baseline"/>
        </w:rPr>
        <w:t>with</w:t>
      </w:r>
      <w:r>
        <w:rPr>
          <w:color w:val="26486C"/>
          <w:spacing w:val="1"/>
          <w:sz w:val="15"/>
          <w:vertAlign w:val="baseline"/>
        </w:rPr>
        <w:t> </w:t>
      </w:r>
      <w:r>
        <w:rPr>
          <w:color w:val="26486C"/>
          <w:sz w:val="15"/>
          <w:vertAlign w:val="baseline"/>
        </w:rPr>
        <w:t>level of</w:t>
      </w:r>
      <w:r>
        <w:rPr>
          <w:color w:val="26486C"/>
          <w:spacing w:val="1"/>
          <w:sz w:val="15"/>
          <w:vertAlign w:val="baseline"/>
        </w:rPr>
        <w:t> </w:t>
      </w:r>
      <w:r>
        <w:rPr>
          <w:color w:val="26486C"/>
          <w:spacing w:val="-2"/>
          <w:sz w:val="15"/>
          <w:vertAlign w:val="baseline"/>
        </w:rPr>
        <w:t>significance.</w:t>
      </w:r>
    </w:p>
    <w:p>
      <w:pPr>
        <w:spacing w:before="5"/>
        <w:ind w:left="165" w:right="0" w:firstLine="0"/>
        <w:jc w:val="left"/>
        <w:rPr>
          <w:sz w:val="15"/>
        </w:rPr>
      </w:pPr>
      <w:r>
        <w:rPr>
          <w:color w:val="26486C"/>
          <w:spacing w:val="-2"/>
          <w:sz w:val="15"/>
        </w:rPr>
        <w:t>*</w:t>
      </w:r>
      <w:r>
        <w:rPr>
          <w:rFonts w:ascii="Trebuchet MS"/>
          <w:i/>
          <w:color w:val="26486C"/>
          <w:spacing w:val="-2"/>
          <w:sz w:val="15"/>
        </w:rPr>
        <w:t>p</w:t>
      </w:r>
      <w:r>
        <w:rPr>
          <w:rFonts w:ascii="Trebuchet MS"/>
          <w:i/>
          <w:color w:val="26486C"/>
          <w:spacing w:val="-13"/>
          <w:sz w:val="15"/>
        </w:rPr>
        <w:t> </w:t>
      </w:r>
      <w:r>
        <w:rPr>
          <w:color w:val="26486C"/>
          <w:spacing w:val="-2"/>
          <w:sz w:val="15"/>
        </w:rPr>
        <w:t>&lt;</w:t>
      </w:r>
      <w:r>
        <w:rPr>
          <w:color w:val="26486C"/>
          <w:spacing w:val="-9"/>
          <w:sz w:val="15"/>
        </w:rPr>
        <w:t> </w:t>
      </w:r>
      <w:r>
        <w:rPr>
          <w:color w:val="26486C"/>
          <w:spacing w:val="-5"/>
          <w:sz w:val="15"/>
        </w:rPr>
        <w:t>.05</w:t>
      </w:r>
    </w:p>
    <w:p>
      <w:pPr>
        <w:pStyle w:val="Heading1"/>
      </w:pPr>
      <w:r>
        <w:rPr>
          <w:b w:val="0"/>
        </w:rPr>
        <w:br w:type="column"/>
      </w:r>
      <w:r>
        <w:rPr>
          <w:color w:val="B1063A"/>
          <w:spacing w:val="-2"/>
        </w:rPr>
        <w:t>Conclusions</w:t>
      </w:r>
    </w:p>
    <w:p>
      <w:pPr>
        <w:pStyle w:val="ListParagraph"/>
        <w:numPr>
          <w:ilvl w:val="0"/>
          <w:numId w:val="1"/>
        </w:numPr>
        <w:tabs>
          <w:tab w:pos="327" w:val="left" w:leader="none"/>
        </w:tabs>
        <w:spacing w:line="254" w:lineRule="auto" w:before="270" w:after="0"/>
        <w:ind w:left="327" w:right="155" w:hanging="193"/>
        <w:jc w:val="both"/>
        <w:rPr>
          <w:sz w:val="22"/>
        </w:rPr>
      </w:pPr>
      <w:r>
        <w:rPr>
          <w:color w:val="26486C"/>
          <w:sz w:val="22"/>
        </w:rPr>
        <w:t>Obesity has long been associated with an increased risk of developing multiple </w:t>
      </w:r>
      <w:r>
        <w:rPr>
          <w:color w:val="26486C"/>
          <w:w w:val="110"/>
          <w:sz w:val="22"/>
        </w:rPr>
        <w:t>chronic</w:t>
      </w:r>
      <w:r>
        <w:rPr>
          <w:color w:val="26486C"/>
          <w:spacing w:val="-21"/>
          <w:w w:val="110"/>
          <w:sz w:val="22"/>
        </w:rPr>
        <w:t> </w:t>
      </w:r>
      <w:r>
        <w:rPr>
          <w:color w:val="26486C"/>
          <w:w w:val="110"/>
          <w:sz w:val="22"/>
        </w:rPr>
        <w:t>medical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conditions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and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chronic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pain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among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the</w:t>
      </w:r>
      <w:r>
        <w:rPr>
          <w:color w:val="26486C"/>
          <w:spacing w:val="-20"/>
          <w:w w:val="110"/>
          <w:sz w:val="22"/>
        </w:rPr>
        <w:t> </w:t>
      </w:r>
      <w:r>
        <w:rPr>
          <w:color w:val="26486C"/>
          <w:w w:val="110"/>
          <w:sz w:val="22"/>
        </w:rPr>
        <w:t>general</w:t>
      </w:r>
      <w:r>
        <w:rPr>
          <w:color w:val="26486C"/>
          <w:spacing w:val="-21"/>
          <w:w w:val="110"/>
          <w:sz w:val="22"/>
        </w:rPr>
        <w:t> </w:t>
      </w:r>
      <w:r>
        <w:rPr>
          <w:color w:val="26486C"/>
          <w:w w:val="110"/>
          <w:sz w:val="22"/>
        </w:rPr>
        <w:t>population.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216" w:hanging="194"/>
        <w:jc w:val="both"/>
        <w:rPr>
          <w:sz w:val="22"/>
        </w:rPr>
      </w:pPr>
      <w:r>
        <w:rPr>
          <w:color w:val="26486C"/>
          <w:w w:val="105"/>
          <w:sz w:val="22"/>
        </w:rPr>
        <w:t>This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is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the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first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known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study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to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report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the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relationship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between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obesity</w:t>
      </w:r>
      <w:r>
        <w:rPr>
          <w:color w:val="26486C"/>
          <w:spacing w:val="-2"/>
          <w:w w:val="105"/>
          <w:sz w:val="22"/>
        </w:rPr>
        <w:t> </w:t>
      </w:r>
      <w:r>
        <w:rPr>
          <w:color w:val="26486C"/>
          <w:w w:val="105"/>
          <w:sz w:val="22"/>
        </w:rPr>
        <w:t>and pain</w:t>
      </w:r>
      <w:r>
        <w:rPr>
          <w:color w:val="26486C"/>
          <w:spacing w:val="-25"/>
          <w:w w:val="105"/>
          <w:sz w:val="22"/>
        </w:rPr>
        <w:t> </w:t>
      </w:r>
      <w:r>
        <w:rPr>
          <w:color w:val="26486C"/>
          <w:w w:val="105"/>
          <w:sz w:val="22"/>
        </w:rPr>
        <w:t>indices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in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a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low-income,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Mexican-American,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Spanish-speaking</w:t>
      </w:r>
      <w:r>
        <w:rPr>
          <w:color w:val="26486C"/>
          <w:spacing w:val="-24"/>
          <w:w w:val="105"/>
          <w:sz w:val="22"/>
        </w:rPr>
        <w:t> </w:t>
      </w:r>
      <w:r>
        <w:rPr>
          <w:color w:val="26486C"/>
          <w:w w:val="105"/>
          <w:sz w:val="22"/>
        </w:rPr>
        <w:t>population.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217" w:hanging="194"/>
        <w:jc w:val="both"/>
        <w:rPr>
          <w:sz w:val="22"/>
        </w:rPr>
      </w:pPr>
      <w:r>
        <w:rPr>
          <w:color w:val="26486C"/>
          <w:w w:val="105"/>
          <w:sz w:val="22"/>
        </w:rPr>
        <w:t>This study provides valuable information for public health professionals and </w:t>
      </w:r>
      <w:r>
        <w:rPr>
          <w:color w:val="26486C"/>
          <w:spacing w:val="-2"/>
          <w:w w:val="105"/>
          <w:sz w:val="22"/>
        </w:rPr>
        <w:t>healthcare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providers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in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determining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appropriate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treatment,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service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provisions, </w:t>
      </w:r>
      <w:r>
        <w:rPr>
          <w:color w:val="26486C"/>
          <w:w w:val="105"/>
          <w:sz w:val="22"/>
        </w:rPr>
        <w:t>and prevention programs for Mexican Americans.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222" w:hanging="194"/>
        <w:jc w:val="left"/>
        <w:rPr>
          <w:sz w:val="22"/>
        </w:rPr>
      </w:pPr>
      <w:r>
        <w:rPr>
          <w:color w:val="26486C"/>
          <w:w w:val="105"/>
          <w:sz w:val="22"/>
        </w:rPr>
        <w:t>Clinicians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should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consider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an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integrative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approach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incorporate</w:t>
      </w:r>
      <w:r>
        <w:rPr>
          <w:color w:val="26486C"/>
          <w:spacing w:val="-14"/>
          <w:w w:val="105"/>
          <w:sz w:val="22"/>
        </w:rPr>
        <w:t> </w:t>
      </w:r>
      <w:r>
        <w:rPr>
          <w:color w:val="26486C"/>
          <w:w w:val="105"/>
          <w:sz w:val="22"/>
        </w:rPr>
        <w:t>strategies to include medications and complementary modalities that address the comorbidity of excessive weight and chronic pain, and the potential underlying issues leading to these conditions.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325" w:val="left" w:leader="none"/>
          <w:tab w:pos="327" w:val="left" w:leader="none"/>
        </w:tabs>
        <w:spacing w:line="254" w:lineRule="auto" w:before="0" w:after="0"/>
        <w:ind w:left="327" w:right="597" w:hanging="194"/>
        <w:jc w:val="left"/>
        <w:rPr>
          <w:sz w:val="22"/>
        </w:rPr>
      </w:pPr>
      <w:r>
        <w:rPr>
          <w:color w:val="26486C"/>
          <w:spacing w:val="-2"/>
          <w:w w:val="110"/>
          <w:sz w:val="22"/>
        </w:rPr>
        <w:t>In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addition,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a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chronic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pain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self-management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program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in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Spanish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with</w:t>
      </w:r>
      <w:r>
        <w:rPr>
          <w:color w:val="26486C"/>
          <w:spacing w:val="-12"/>
          <w:w w:val="110"/>
          <w:sz w:val="22"/>
        </w:rPr>
        <w:t> </w:t>
      </w:r>
      <w:r>
        <w:rPr>
          <w:color w:val="26486C"/>
          <w:spacing w:val="-2"/>
          <w:w w:val="110"/>
          <w:sz w:val="22"/>
        </w:rPr>
        <w:t>an </w:t>
      </w:r>
      <w:r>
        <w:rPr>
          <w:color w:val="26486C"/>
          <w:w w:val="110"/>
          <w:sz w:val="22"/>
        </w:rPr>
        <w:t>emphasis on weight management should be developed.</w:t>
      </w:r>
    </w:p>
    <w:p>
      <w:pPr>
        <w:pStyle w:val="BodyText"/>
        <w:spacing w:before="97"/>
      </w:pPr>
    </w:p>
    <w:p>
      <w:pPr>
        <w:pStyle w:val="Heading1"/>
        <w:spacing w:before="1"/>
      </w:pPr>
      <w:r>
        <w:rPr>
          <w:color w:val="B1063A"/>
          <w:spacing w:val="-2"/>
        </w:rPr>
        <w:t>Disclosure</w:t>
      </w:r>
    </w:p>
    <w:p>
      <w:pPr>
        <w:pStyle w:val="ListParagraph"/>
        <w:numPr>
          <w:ilvl w:val="0"/>
          <w:numId w:val="1"/>
        </w:numPr>
        <w:tabs>
          <w:tab w:pos="326" w:val="left" w:leader="none"/>
        </w:tabs>
        <w:spacing w:line="240" w:lineRule="auto" w:before="270" w:after="0"/>
        <w:ind w:left="326" w:right="0" w:hanging="192"/>
        <w:jc w:val="left"/>
        <w:rPr>
          <w:sz w:val="22"/>
        </w:rPr>
      </w:pPr>
      <w:r>
        <w:rPr>
          <w:color w:val="26486C"/>
          <w:sz w:val="22"/>
        </w:rPr>
        <w:t>This</w:t>
      </w:r>
      <w:r>
        <w:rPr>
          <w:color w:val="26486C"/>
          <w:spacing w:val="5"/>
          <w:sz w:val="22"/>
        </w:rPr>
        <w:t> </w:t>
      </w:r>
      <w:r>
        <w:rPr>
          <w:color w:val="26486C"/>
          <w:sz w:val="22"/>
        </w:rPr>
        <w:t>study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was</w:t>
      </w:r>
      <w:r>
        <w:rPr>
          <w:color w:val="26486C"/>
          <w:spacing w:val="5"/>
          <w:sz w:val="22"/>
        </w:rPr>
        <w:t> </w:t>
      </w:r>
      <w:r>
        <w:rPr>
          <w:color w:val="26486C"/>
          <w:sz w:val="22"/>
        </w:rPr>
        <w:t>funded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by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the</w:t>
      </w:r>
      <w:r>
        <w:rPr>
          <w:color w:val="26486C"/>
          <w:spacing w:val="5"/>
          <w:sz w:val="22"/>
        </w:rPr>
        <w:t> </w:t>
      </w:r>
      <w:r>
        <w:rPr>
          <w:color w:val="26486C"/>
          <w:sz w:val="22"/>
        </w:rPr>
        <w:t>Centers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for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Disease</w:t>
      </w:r>
      <w:r>
        <w:rPr>
          <w:color w:val="26486C"/>
          <w:spacing w:val="5"/>
          <w:sz w:val="22"/>
        </w:rPr>
        <w:t> </w:t>
      </w:r>
      <w:r>
        <w:rPr>
          <w:color w:val="26486C"/>
          <w:sz w:val="22"/>
        </w:rPr>
        <w:t>Control</w:t>
      </w:r>
      <w:r>
        <w:rPr>
          <w:color w:val="26486C"/>
          <w:spacing w:val="6"/>
          <w:sz w:val="22"/>
        </w:rPr>
        <w:t> </w:t>
      </w:r>
      <w:r>
        <w:rPr>
          <w:color w:val="26486C"/>
          <w:sz w:val="22"/>
        </w:rPr>
        <w:t>and</w:t>
      </w:r>
      <w:r>
        <w:rPr>
          <w:color w:val="26486C"/>
          <w:spacing w:val="5"/>
          <w:sz w:val="22"/>
        </w:rPr>
        <w:t> </w:t>
      </w:r>
      <w:r>
        <w:rPr>
          <w:color w:val="26486C"/>
          <w:spacing w:val="-2"/>
          <w:sz w:val="22"/>
        </w:rPr>
        <w:t>Prevention.</w:t>
      </w:r>
    </w:p>
    <w:p>
      <w:pPr>
        <w:pStyle w:val="BodyText"/>
        <w:spacing w:before="113"/>
      </w:pPr>
    </w:p>
    <w:p>
      <w:pPr>
        <w:pStyle w:val="Heading1"/>
        <w:spacing w:before="0"/>
      </w:pPr>
      <w:r>
        <w:rPr>
          <w:color w:val="B1063A"/>
          <w:spacing w:val="-2"/>
        </w:rPr>
        <w:t>References</w:t>
      </w:r>
    </w:p>
    <w:p>
      <w:pPr>
        <w:pStyle w:val="ListParagraph"/>
        <w:numPr>
          <w:ilvl w:val="0"/>
          <w:numId w:val="2"/>
        </w:numPr>
        <w:tabs>
          <w:tab w:pos="520" w:val="left" w:leader="none"/>
        </w:tabs>
        <w:spacing w:line="254" w:lineRule="auto" w:before="270" w:after="0"/>
        <w:ind w:left="520" w:right="345" w:hanging="387"/>
        <w:jc w:val="left"/>
        <w:rPr>
          <w:sz w:val="22"/>
        </w:rPr>
      </w:pPr>
      <w:r>
        <w:rPr>
          <w:color w:val="26486C"/>
          <w:spacing w:val="-2"/>
          <w:w w:val="105"/>
          <w:sz w:val="22"/>
        </w:rPr>
        <w:t>Bryant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L,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Grigsby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J,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Swenson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C,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Scarbro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S,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Baxter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J.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Chronic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pain</w:t>
      </w:r>
      <w:r>
        <w:rPr>
          <w:color w:val="26486C"/>
          <w:spacing w:val="-11"/>
          <w:w w:val="105"/>
          <w:sz w:val="22"/>
        </w:rPr>
        <w:t> </w:t>
      </w:r>
      <w:r>
        <w:rPr>
          <w:color w:val="26486C"/>
          <w:spacing w:val="-2"/>
          <w:w w:val="105"/>
          <w:sz w:val="22"/>
        </w:rPr>
        <w:t>increases </w:t>
      </w:r>
      <w:r>
        <w:rPr>
          <w:color w:val="26486C"/>
          <w:w w:val="105"/>
          <w:sz w:val="22"/>
        </w:rPr>
        <w:t>the risk of decreasing physical performance in older adults: the San Luis Valley</w:t>
      </w:r>
      <w:r>
        <w:rPr>
          <w:color w:val="26486C"/>
          <w:spacing w:val="-6"/>
          <w:w w:val="105"/>
          <w:sz w:val="22"/>
        </w:rPr>
        <w:t> </w:t>
      </w:r>
      <w:r>
        <w:rPr>
          <w:color w:val="26486C"/>
          <w:w w:val="105"/>
          <w:sz w:val="22"/>
        </w:rPr>
        <w:t>health</w:t>
      </w:r>
      <w:r>
        <w:rPr>
          <w:color w:val="26486C"/>
          <w:spacing w:val="-6"/>
          <w:w w:val="105"/>
          <w:sz w:val="22"/>
        </w:rPr>
        <w:t> </w:t>
      </w:r>
      <w:r>
        <w:rPr>
          <w:color w:val="26486C"/>
          <w:w w:val="105"/>
          <w:sz w:val="22"/>
        </w:rPr>
        <w:t>and</w:t>
      </w:r>
      <w:r>
        <w:rPr>
          <w:color w:val="26486C"/>
          <w:spacing w:val="-6"/>
          <w:w w:val="105"/>
          <w:sz w:val="22"/>
        </w:rPr>
        <w:t> </w:t>
      </w:r>
      <w:r>
        <w:rPr>
          <w:color w:val="26486C"/>
          <w:w w:val="105"/>
          <w:sz w:val="22"/>
        </w:rPr>
        <w:t>aging</w:t>
      </w:r>
      <w:r>
        <w:rPr>
          <w:color w:val="26486C"/>
          <w:spacing w:val="-6"/>
          <w:w w:val="105"/>
          <w:sz w:val="22"/>
        </w:rPr>
        <w:t> </w:t>
      </w:r>
      <w:r>
        <w:rPr>
          <w:color w:val="26486C"/>
          <w:w w:val="105"/>
          <w:sz w:val="22"/>
        </w:rPr>
        <w:t>study.</w:t>
      </w:r>
      <w:r>
        <w:rPr>
          <w:color w:val="26486C"/>
          <w:spacing w:val="-6"/>
          <w:w w:val="105"/>
          <w:sz w:val="22"/>
        </w:rPr>
        <w:t> </w:t>
      </w:r>
      <w:r>
        <w:rPr>
          <w:rFonts w:ascii="Trebuchet MS"/>
          <w:i/>
          <w:color w:val="26486C"/>
          <w:w w:val="105"/>
          <w:sz w:val="22"/>
        </w:rPr>
        <w:t>J</w:t>
      </w:r>
      <w:r>
        <w:rPr>
          <w:rFonts w:ascii="Trebuchet MS"/>
          <w:i/>
          <w:color w:val="26486C"/>
          <w:spacing w:val="-20"/>
          <w:w w:val="105"/>
          <w:sz w:val="22"/>
        </w:rPr>
        <w:t> </w:t>
      </w:r>
      <w:r>
        <w:rPr>
          <w:rFonts w:ascii="Trebuchet MS"/>
          <w:i/>
          <w:color w:val="26486C"/>
          <w:w w:val="105"/>
          <w:sz w:val="22"/>
        </w:rPr>
        <w:t>Gerontol</w:t>
      </w:r>
      <w:r>
        <w:rPr>
          <w:color w:val="26486C"/>
          <w:w w:val="105"/>
          <w:sz w:val="22"/>
        </w:rPr>
        <w:t>.</w:t>
      </w:r>
      <w:r>
        <w:rPr>
          <w:color w:val="26486C"/>
          <w:spacing w:val="-6"/>
          <w:w w:val="105"/>
          <w:sz w:val="22"/>
        </w:rPr>
        <w:t> </w:t>
      </w:r>
      <w:r>
        <w:rPr>
          <w:color w:val="26486C"/>
          <w:w w:val="105"/>
          <w:sz w:val="22"/>
        </w:rPr>
        <w:t>2007;62A(9):989-996.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"/>
        </w:numPr>
        <w:tabs>
          <w:tab w:pos="518" w:val="left" w:leader="none"/>
          <w:tab w:pos="520" w:val="left" w:leader="none"/>
        </w:tabs>
        <w:spacing w:line="252" w:lineRule="auto" w:before="0" w:after="0"/>
        <w:ind w:left="520" w:right="420" w:hanging="387"/>
        <w:jc w:val="both"/>
        <w:rPr>
          <w:sz w:val="22"/>
        </w:rPr>
      </w:pPr>
      <w:r>
        <w:rPr>
          <w:color w:val="26486C"/>
          <w:sz w:val="22"/>
        </w:rPr>
        <w:t>Janke EA, Collins A, Kozak AT. Overview of the relationship between pain and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obesity: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what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do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we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know?</w:t>
      </w:r>
      <w:r>
        <w:rPr>
          <w:color w:val="26486C"/>
          <w:spacing w:val="-13"/>
          <w:sz w:val="22"/>
        </w:rPr>
        <w:t> </w:t>
      </w:r>
      <w:r>
        <w:rPr>
          <w:color w:val="26486C"/>
          <w:sz w:val="22"/>
        </w:rPr>
        <w:t>Where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do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we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go</w:t>
      </w:r>
      <w:r>
        <w:rPr>
          <w:color w:val="26486C"/>
          <w:spacing w:val="-3"/>
          <w:sz w:val="22"/>
        </w:rPr>
        <w:t> </w:t>
      </w:r>
      <w:r>
        <w:rPr>
          <w:color w:val="26486C"/>
          <w:sz w:val="22"/>
        </w:rPr>
        <w:t>next?</w:t>
      </w:r>
      <w:r>
        <w:rPr>
          <w:color w:val="26486C"/>
          <w:spacing w:val="-3"/>
          <w:sz w:val="22"/>
        </w:rPr>
        <w:t> </w:t>
      </w:r>
      <w:r>
        <w:rPr>
          <w:rFonts w:ascii="Trebuchet MS"/>
          <w:i/>
          <w:color w:val="26486C"/>
          <w:sz w:val="22"/>
        </w:rPr>
        <w:t>J</w:t>
      </w:r>
      <w:r>
        <w:rPr>
          <w:rFonts w:ascii="Trebuchet MS"/>
          <w:i/>
          <w:color w:val="26486C"/>
          <w:spacing w:val="-16"/>
          <w:sz w:val="22"/>
        </w:rPr>
        <w:t> </w:t>
      </w:r>
      <w:r>
        <w:rPr>
          <w:rFonts w:ascii="Trebuchet MS"/>
          <w:i/>
          <w:color w:val="26486C"/>
          <w:sz w:val="22"/>
        </w:rPr>
        <w:t>Rehabil</w:t>
      </w:r>
      <w:r>
        <w:rPr>
          <w:rFonts w:ascii="Trebuchet MS"/>
          <w:i/>
          <w:color w:val="26486C"/>
          <w:spacing w:val="-16"/>
          <w:sz w:val="22"/>
        </w:rPr>
        <w:t> </w:t>
      </w:r>
      <w:r>
        <w:rPr>
          <w:rFonts w:ascii="Trebuchet MS"/>
          <w:i/>
          <w:color w:val="26486C"/>
          <w:sz w:val="22"/>
        </w:rPr>
        <w:t>Res</w:t>
      </w:r>
      <w:r>
        <w:rPr>
          <w:rFonts w:ascii="Trebuchet MS"/>
          <w:i/>
          <w:color w:val="26486C"/>
          <w:spacing w:val="-16"/>
          <w:sz w:val="22"/>
        </w:rPr>
        <w:t> </w:t>
      </w:r>
      <w:r>
        <w:rPr>
          <w:rFonts w:ascii="Trebuchet MS"/>
          <w:i/>
          <w:color w:val="26486C"/>
          <w:sz w:val="22"/>
        </w:rPr>
        <w:t>Dev</w:t>
      </w:r>
      <w:r>
        <w:rPr>
          <w:color w:val="26486C"/>
          <w:sz w:val="22"/>
        </w:rPr>
        <w:t>. </w:t>
      </w:r>
      <w:r>
        <w:rPr>
          <w:color w:val="26486C"/>
          <w:spacing w:val="-2"/>
          <w:sz w:val="22"/>
        </w:rPr>
        <w:t>2007;44(2):245-262.</w:t>
      </w:r>
    </w:p>
    <w:sectPr>
      <w:type w:val="continuous"/>
      <w:pgSz w:w="31660" w:h="13900" w:orient="landscape"/>
      <w:pgMar w:top="360" w:bottom="280" w:left="280" w:right="280"/>
      <w:cols w:num="4" w:equalWidth="0">
        <w:col w:w="6509" w:space="656"/>
        <w:col w:w="6006" w:space="619"/>
        <w:col w:w="5779" w:space="3842"/>
        <w:col w:w="76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Century Gothic">
    <w:altName w:val="Century Gothic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20" w:hanging="387"/>
        <w:jc w:val="left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6486C"/>
        <w:spacing w:val="0"/>
        <w:w w:val="10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6" w:hanging="38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53" w:hanging="38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0" w:hanging="38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87" w:hanging="38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04" w:hanging="38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21" w:hanging="38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8" w:hanging="38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55" w:hanging="38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"/>
      <w:lvlJc w:val="left"/>
      <w:pPr>
        <w:ind w:left="327" w:hanging="194"/>
      </w:pPr>
      <w:rPr>
        <w:rFonts w:hint="default" w:ascii="Wingdings" w:hAnsi="Wingdings" w:eastAsia="Wingdings" w:cs="Wingdings"/>
        <w:b w:val="0"/>
        <w:bCs w:val="0"/>
        <w:i w:val="0"/>
        <w:iCs w:val="0"/>
        <w:color w:val="B1063A"/>
        <w:spacing w:val="0"/>
        <w:w w:val="10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8" w:hanging="1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7" w:hanging="1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6" w:hanging="1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95" w:hanging="1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4" w:hanging="1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33" w:hanging="1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51" w:hanging="1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70" w:hanging="19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5"/>
      <w:ind w:left="134"/>
      <w:outlineLvl w:val="1"/>
    </w:pPr>
    <w:rPr>
      <w:rFonts w:ascii="Century Gothic" w:hAnsi="Century Gothic" w:eastAsia="Century Gothic" w:cs="Century Gothic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27" w:right="38" w:hanging="194"/>
    </w:pPr>
    <w:rPr>
      <w:rFonts w:ascii="Gill Sans MT" w:hAnsi="Gill Sans MT" w:eastAsia="Gill Sans MT" w:cs="Gill Sans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 AAPM Aquino</dc:title>
  <dcterms:created xsi:type="dcterms:W3CDTF">2026-09-28T22:04:57Z</dcterms:created>
  <dcterms:modified xsi:type="dcterms:W3CDTF">2026-09-28T22:04:57Z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2010-09-08T00:00:00Z</vt:filetime>
  </property>
  <property fmtid="{D5CDD505-2E9C-101B-9397-08002B2CF9AE}" pid="3" name="Creator">
    <vt:lpwstr>Adobe Illustrator CS4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9.00</vt:lpwstr>
  </property>
</Properties>
</file>