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2" w:lineRule="auto" w:before="79"/>
        <w:ind w:left="603" w:right="0" w:firstLine="0"/>
        <w:jc w:val="center"/>
        <w:rPr>
          <w:sz w:val="24"/>
        </w:rPr>
      </w:pPr>
      <w:r>
        <w:rPr>
          <w:sz w:val="24"/>
        </w:rPr>
        <w:t>LEISURE ACTIVITIES AND DEPRESSION</w:t>
      </w:r>
      <w:r>
        <w:rPr>
          <w:spacing w:val="40"/>
          <w:sz w:val="24"/>
        </w:rPr>
        <w:t> </w:t>
      </w:r>
      <w:r>
        <w:rPr>
          <w:sz w:val="24"/>
        </w:rPr>
        <w:t>IN PEOPLE WITH AND WITHOUT FIBROMY</w:t>
      </w:r>
      <w:r>
        <w:rPr>
          <w:spacing w:val="-38"/>
          <w:sz w:val="24"/>
        </w:rPr>
        <w:t> </w:t>
      </w:r>
      <w:r>
        <w:rPr>
          <w:sz w:val="24"/>
        </w:rPr>
        <w:t>ALOIA</w:t>
      </w:r>
    </w:p>
    <w:p>
      <w:pPr>
        <w:pStyle w:val="BodyText"/>
        <w:spacing w:before="129"/>
        <w:rPr>
          <w:sz w:val="20"/>
        </w:rPr>
      </w:pPr>
      <w:r>
        <w:rPr/>
        <mc:AlternateContent>
          <mc:Choice Requires="wps">
            <w:drawing>
              <wp:anchor distT="0" distB="0" distL="0" distR="0" allowOverlap="1" layoutInCell="1" locked="0" behindDoc="1" simplePos="0" relativeHeight="487587840">
                <wp:simplePos x="0" y="0"/>
                <wp:positionH relativeFrom="page">
                  <wp:posOffset>2808458</wp:posOffset>
                </wp:positionH>
                <wp:positionV relativeFrom="paragraph">
                  <wp:posOffset>243289</wp:posOffset>
                </wp:positionV>
                <wp:extent cx="283337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833370" cy="1270"/>
                        </a:xfrm>
                        <a:custGeom>
                          <a:avLst/>
                          <a:gdLst/>
                          <a:ahLst/>
                          <a:cxnLst/>
                          <a:rect l="l" t="t" r="r" b="b"/>
                          <a:pathLst>
                            <a:path w="2833370" h="0">
                              <a:moveTo>
                                <a:pt x="0" y="0"/>
                              </a:moveTo>
                              <a:lnTo>
                                <a:pt x="283288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1.138489pt;margin-top:19.156660pt;width:223.1pt;height:.1pt;mso-position-horizontal-relative:page;mso-position-vertical-relative:paragraph;z-index:-15728640;mso-wrap-distance-left:0;mso-wrap-distance-right:0" id="docshape1" coordorigin="4423,383" coordsize="4462,0" path="m4423,383l8884,383e" filled="false" stroked="true" strokeweight=".480585pt" strokecolor="#000000">
                <v:path arrowok="t"/>
                <v:stroke dashstyle="solid"/>
                <w10:wrap type="topAndBottom"/>
              </v:shape>
            </w:pict>
          </mc:Fallback>
        </mc:AlternateContent>
      </w:r>
    </w:p>
    <w:p>
      <w:pPr>
        <w:pStyle w:val="BodyText"/>
        <w:spacing w:before="9"/>
        <w:rPr>
          <w:sz w:val="24"/>
        </w:rPr>
      </w:pPr>
    </w:p>
    <w:p>
      <w:pPr>
        <w:spacing w:line="482" w:lineRule="auto" w:before="0"/>
        <w:ind w:left="4101" w:right="3512" w:hanging="2"/>
        <w:jc w:val="center"/>
        <w:rPr>
          <w:sz w:val="24"/>
        </w:rPr>
      </w:pPr>
      <w:r>
        <w:rPr>
          <w:sz w:val="24"/>
        </w:rPr>
        <w:t>A Thesis Presented to</w:t>
      </w:r>
      <w:r>
        <w:rPr>
          <w:spacing w:val="-8"/>
          <w:sz w:val="24"/>
        </w:rPr>
        <w:t> </w:t>
      </w:r>
      <w:r>
        <w:rPr>
          <w:sz w:val="24"/>
        </w:rPr>
        <w:t>the Faculty of</w:t>
      </w:r>
    </w:p>
    <w:p>
      <w:pPr>
        <w:spacing w:line="275" w:lineRule="exact" w:before="0"/>
        <w:ind w:left="603" w:right="22" w:firstLine="0"/>
        <w:jc w:val="center"/>
        <w:rPr>
          <w:sz w:val="24"/>
        </w:rPr>
      </w:pPr>
      <w:r>
        <w:rPr>
          <w:sz w:val="24"/>
        </w:rPr>
        <w:t>California</w:t>
      </w:r>
      <w:r>
        <w:rPr>
          <w:spacing w:val="19"/>
          <w:sz w:val="24"/>
        </w:rPr>
        <w:t> </w:t>
      </w:r>
      <w:r>
        <w:rPr>
          <w:sz w:val="24"/>
        </w:rPr>
        <w:t>State</w:t>
      </w:r>
      <w:r>
        <w:rPr>
          <w:spacing w:val="17"/>
          <w:sz w:val="24"/>
        </w:rPr>
        <w:t> </w:t>
      </w:r>
      <w:r>
        <w:rPr>
          <w:sz w:val="24"/>
        </w:rPr>
        <w:t>University,</w:t>
      </w:r>
      <w:r>
        <w:rPr>
          <w:spacing w:val="26"/>
          <w:sz w:val="24"/>
        </w:rPr>
        <w:t> </w:t>
      </w:r>
      <w:r>
        <w:rPr>
          <w:spacing w:val="-2"/>
          <w:sz w:val="24"/>
        </w:rPr>
        <w:t>Fullerton</w:t>
      </w:r>
    </w:p>
    <w:p>
      <w:pPr>
        <w:pStyle w:val="BodyText"/>
        <w:spacing w:before="11"/>
        <w:rPr>
          <w:sz w:val="20"/>
        </w:rPr>
      </w:pPr>
      <w:r>
        <w:rPr/>
        <mc:AlternateContent>
          <mc:Choice Requires="wps">
            <w:drawing>
              <wp:anchor distT="0" distB="0" distL="0" distR="0" allowOverlap="1" layoutInCell="1" locked="0" behindDoc="1" simplePos="0" relativeHeight="487588352">
                <wp:simplePos x="0" y="0"/>
                <wp:positionH relativeFrom="page">
                  <wp:posOffset>2808458</wp:posOffset>
                </wp:positionH>
                <wp:positionV relativeFrom="paragraph">
                  <wp:posOffset>168690</wp:posOffset>
                </wp:positionV>
                <wp:extent cx="283337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833370" cy="1270"/>
                        </a:xfrm>
                        <a:custGeom>
                          <a:avLst/>
                          <a:gdLst/>
                          <a:ahLst/>
                          <a:cxnLst/>
                          <a:rect l="l" t="t" r="r" b="b"/>
                          <a:pathLst>
                            <a:path w="2833370" h="0">
                              <a:moveTo>
                                <a:pt x="0" y="0"/>
                              </a:moveTo>
                              <a:lnTo>
                                <a:pt x="283288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21.138489pt;margin-top:13.282708pt;width:223.1pt;height:.1pt;mso-position-horizontal-relative:page;mso-position-vertical-relative:paragraph;z-index:-15728128;mso-wrap-distance-left:0;mso-wrap-distance-right:0" id="docshape2" coordorigin="4423,266" coordsize="4462,0" path="m4423,266l8884,266e" filled="false" stroked="true" strokeweight=".480585pt" strokecolor="#000000">
                <v:path arrowok="t"/>
                <v:stroke dashstyle="solid"/>
                <w10:wrap type="topAndBottom"/>
              </v:shape>
            </w:pict>
          </mc:Fallback>
        </mc:AlternateContent>
      </w:r>
    </w:p>
    <w:p>
      <w:pPr>
        <w:pStyle w:val="BodyText"/>
        <w:spacing w:before="9"/>
        <w:rPr>
          <w:sz w:val="24"/>
        </w:rPr>
      </w:pPr>
    </w:p>
    <w:p>
      <w:pPr>
        <w:spacing w:before="0"/>
        <w:ind w:left="603" w:right="46" w:firstLine="0"/>
        <w:jc w:val="center"/>
        <w:rPr>
          <w:sz w:val="24"/>
        </w:rPr>
      </w:pPr>
      <w:r>
        <w:rPr>
          <w:sz w:val="24"/>
        </w:rPr>
        <w:t>In</w:t>
      </w:r>
      <w:r>
        <w:rPr>
          <w:spacing w:val="8"/>
          <w:sz w:val="24"/>
        </w:rPr>
        <w:t> </w:t>
      </w:r>
      <w:r>
        <w:rPr>
          <w:sz w:val="24"/>
        </w:rPr>
        <w:t>Partial</w:t>
      </w:r>
      <w:r>
        <w:rPr>
          <w:spacing w:val="17"/>
          <w:sz w:val="24"/>
        </w:rPr>
        <w:t> </w:t>
      </w:r>
      <w:r>
        <w:rPr>
          <w:spacing w:val="-2"/>
          <w:sz w:val="24"/>
        </w:rPr>
        <w:t>Fulfillment</w:t>
      </w:r>
    </w:p>
    <w:p>
      <w:pPr>
        <w:pStyle w:val="BodyText"/>
        <w:spacing w:before="1"/>
        <w:rPr>
          <w:sz w:val="24"/>
        </w:rPr>
      </w:pPr>
    </w:p>
    <w:p>
      <w:pPr>
        <w:spacing w:line="480" w:lineRule="auto" w:before="0"/>
        <w:ind w:left="4000" w:right="2007" w:hanging="856"/>
        <w:jc w:val="left"/>
        <w:rPr>
          <w:sz w:val="24"/>
        </w:rPr>
      </w:pPr>
      <w:r>
        <w:rPr>
          <w:sz w:val="24"/>
        </w:rPr>
        <w:t>of the Requirements for the Degree Master of Science</w:t>
      </w:r>
    </w:p>
    <w:p>
      <w:pPr>
        <w:spacing w:line="477" w:lineRule="auto" w:before="1"/>
        <w:ind w:left="3807" w:right="3114" w:firstLine="992"/>
        <w:jc w:val="left"/>
        <w:rPr>
          <w:sz w:val="24"/>
        </w:rPr>
      </w:pPr>
      <w:r>
        <w:rPr>
          <w:spacing w:val="-10"/>
          <w:sz w:val="24"/>
        </w:rPr>
        <w:t>m </w:t>
      </w:r>
      <w:r>
        <w:rPr>
          <w:sz w:val="24"/>
        </w:rPr>
        <w:t>Psychology </w:t>
      </w:r>
      <w:r>
        <w:rPr>
          <w:sz w:val="24"/>
        </w:rPr>
        <w:t>(Clinical)</w:t>
      </w:r>
    </w:p>
    <w:p>
      <w:pPr>
        <w:pStyle w:val="BodyText"/>
        <w:spacing w:line="20" w:lineRule="exact"/>
        <w:ind w:left="2662"/>
        <w:rPr>
          <w:sz w:val="2"/>
        </w:rPr>
      </w:pPr>
      <w:r>
        <w:rPr>
          <w:sz w:val="2"/>
        </w:rPr>
        <mc:AlternateContent>
          <mc:Choice Requires="wps">
            <w:drawing>
              <wp:inline distT="0" distB="0" distL="0" distR="0">
                <wp:extent cx="2833370" cy="6350"/>
                <wp:effectExtent l="9525" t="0" r="0" b="3175"/>
                <wp:docPr id="3" name="Group 3"/>
                <wp:cNvGraphicFramePr>
                  <a:graphicFrameLocks/>
                </wp:cNvGraphicFramePr>
                <a:graphic>
                  <a:graphicData uri="http://schemas.microsoft.com/office/word/2010/wordprocessingGroup">
                    <wpg:wgp>
                      <wpg:cNvPr id="3" name="Group 3"/>
                      <wpg:cNvGrpSpPr/>
                      <wpg:grpSpPr>
                        <a:xfrm>
                          <a:off x="0" y="0"/>
                          <a:ext cx="2833370" cy="6350"/>
                          <a:chExt cx="2833370" cy="6350"/>
                        </a:xfrm>
                      </wpg:grpSpPr>
                      <wps:wsp>
                        <wps:cNvPr id="4" name="Graphic 4"/>
                        <wps:cNvSpPr/>
                        <wps:spPr>
                          <a:xfrm>
                            <a:off x="0" y="3051"/>
                            <a:ext cx="2833370" cy="1270"/>
                          </a:xfrm>
                          <a:custGeom>
                            <a:avLst/>
                            <a:gdLst/>
                            <a:ahLst/>
                            <a:cxnLst/>
                            <a:rect l="l" t="t" r="r" b="b"/>
                            <a:pathLst>
                              <a:path w="2833370" h="0">
                                <a:moveTo>
                                  <a:pt x="0" y="0"/>
                                </a:moveTo>
                                <a:lnTo>
                                  <a:pt x="2832880"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23.1pt;height:.5pt;mso-position-horizontal-relative:char;mso-position-vertical-relative:line" id="docshapegroup3" coordorigin="0,0" coordsize="4462,10">
                <v:line style="position:absolute" from="0,5" to="4461,5" stroked="true" strokeweight=".480585pt" strokecolor="#000000">
                  <v:stroke dashstyle="solid"/>
                </v:line>
              </v:group>
            </w:pict>
          </mc:Fallback>
        </mc:AlternateContent>
      </w:r>
      <w:r>
        <w:rPr>
          <w:sz w:val="2"/>
        </w:rPr>
      </w:r>
    </w:p>
    <w:p>
      <w:pPr>
        <w:spacing w:before="261"/>
        <w:ind w:left="603" w:right="21" w:firstLine="0"/>
        <w:jc w:val="center"/>
        <w:rPr>
          <w:sz w:val="24"/>
        </w:rPr>
      </w:pPr>
      <w:r>
        <w:rPr>
          <w:spacing w:val="-5"/>
          <w:sz w:val="24"/>
        </w:rPr>
        <w:t>By</w:t>
      </w:r>
    </w:p>
    <w:p>
      <w:pPr>
        <w:spacing w:line="480" w:lineRule="auto" w:before="272"/>
        <w:ind w:left="3131" w:right="2566" w:firstLine="0"/>
        <w:jc w:val="center"/>
        <w:rPr>
          <w:sz w:val="24"/>
        </w:rPr>
      </w:pPr>
      <w:r>
        <w:rPr/>
        <mc:AlternateContent>
          <mc:Choice Requires="wps">
            <w:drawing>
              <wp:anchor distT="0" distB="0" distL="0" distR="0" allowOverlap="1" layoutInCell="1" locked="0" behindDoc="1" simplePos="0" relativeHeight="486034944">
                <wp:simplePos x="0" y="0"/>
                <wp:positionH relativeFrom="page">
                  <wp:posOffset>1404229</wp:posOffset>
                </wp:positionH>
                <wp:positionV relativeFrom="paragraph">
                  <wp:posOffset>760750</wp:posOffset>
                </wp:positionV>
                <wp:extent cx="3053080" cy="464184"/>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3053080" cy="464184"/>
                          <a:chExt cx="3053080" cy="464184"/>
                        </a:xfrm>
                      </wpg:grpSpPr>
                      <pic:pic>
                        <pic:nvPicPr>
                          <pic:cNvPr id="6" name="Image 6"/>
                          <pic:cNvPicPr/>
                        </pic:nvPicPr>
                        <pic:blipFill>
                          <a:blip r:embed="rId5" cstate="print"/>
                          <a:stretch>
                            <a:fillRect/>
                          </a:stretch>
                        </pic:blipFill>
                        <pic:spPr>
                          <a:xfrm>
                            <a:off x="415162" y="0"/>
                            <a:ext cx="952433" cy="463860"/>
                          </a:xfrm>
                          <a:prstGeom prst="rect">
                            <a:avLst/>
                          </a:prstGeom>
                        </pic:spPr>
                      </pic:pic>
                      <wps:wsp>
                        <wps:cNvPr id="7" name="Graphic 7"/>
                        <wps:cNvSpPr/>
                        <wps:spPr>
                          <a:xfrm>
                            <a:off x="0" y="451655"/>
                            <a:ext cx="3053080" cy="1270"/>
                          </a:xfrm>
                          <a:custGeom>
                            <a:avLst/>
                            <a:gdLst/>
                            <a:ahLst/>
                            <a:cxnLst/>
                            <a:rect l="l" t="t" r="r" b="b"/>
                            <a:pathLst>
                              <a:path w="3053080" h="0">
                                <a:moveTo>
                                  <a:pt x="0" y="0"/>
                                </a:moveTo>
                                <a:lnTo>
                                  <a:pt x="3052672" y="0"/>
                                </a:lnTo>
                              </a:path>
                            </a:pathLst>
                          </a:custGeom>
                          <a:ln w="91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0.569244pt;margin-top:59.901611pt;width:240.4pt;height:36.550pt;mso-position-horizontal-relative:page;mso-position-vertical-relative:paragraph;z-index:-17281536" id="docshapegroup4" coordorigin="2211,1198" coordsize="4808,731">
                <v:shape style="position:absolute;left:2865;top:1198;width:1500;height:731" type="#_x0000_t75" id="docshape5" stroked="false">
                  <v:imagedata r:id="rId5" o:title=""/>
                </v:shape>
                <v:line style="position:absolute" from="2211,1909" to="7019,1909" stroked="true" strokeweight=".720877pt" strokecolor="#000000">
                  <v:stroke dashstyle="solid"/>
                </v:line>
                <w10:wrap type="none"/>
              </v:group>
            </w:pict>
          </mc:Fallback>
        </mc:AlternateContent>
      </w:r>
      <w:r>
        <w:rPr>
          <w:sz w:val="24"/>
        </w:rPr>
        <w:t>Svetlana Bruk </w:t>
      </w:r>
      <w:r>
        <w:rPr>
          <w:sz w:val="24"/>
        </w:rPr>
        <w:t>Skomyakov Approved by:</w:t>
      </w:r>
    </w:p>
    <w:p>
      <w:pPr>
        <w:pStyle w:val="BodyText"/>
        <w:spacing w:before="7"/>
        <w:rPr>
          <w:sz w:val="14"/>
        </w:rPr>
      </w:pPr>
      <w:r>
        <w:rPr/>
        <w:drawing>
          <wp:anchor distT="0" distB="0" distL="0" distR="0" allowOverlap="1" layoutInCell="1" locked="0" behindDoc="1" simplePos="0" relativeHeight="487589376">
            <wp:simplePos x="0" y="0"/>
            <wp:positionH relativeFrom="page">
              <wp:posOffset>5824496</wp:posOffset>
            </wp:positionH>
            <wp:positionV relativeFrom="paragraph">
              <wp:posOffset>122031</wp:posOffset>
            </wp:positionV>
            <wp:extent cx="905540" cy="164591"/>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905540" cy="164591"/>
                    </a:xfrm>
                    <a:prstGeom prst="rect">
                      <a:avLst/>
                    </a:prstGeom>
                  </pic:spPr>
                </pic:pic>
              </a:graphicData>
            </a:graphic>
          </wp:anchor>
        </w:drawing>
      </w:r>
    </w:p>
    <w:p>
      <w:pPr>
        <w:pStyle w:val="BodyText"/>
        <w:spacing w:before="1"/>
        <w:rPr>
          <w:sz w:val="6"/>
        </w:rPr>
      </w:pPr>
    </w:p>
    <w:p>
      <w:pPr>
        <w:spacing w:after="0"/>
        <w:rPr>
          <w:sz w:val="6"/>
        </w:rPr>
        <w:sectPr>
          <w:type w:val="continuous"/>
          <w:pgSz w:w="12530" w:h="15770"/>
          <w:pgMar w:top="1260" w:bottom="280" w:left="1760" w:right="1580"/>
        </w:sectPr>
      </w:pPr>
    </w:p>
    <w:p>
      <w:pPr>
        <w:spacing w:line="237" w:lineRule="auto" w:before="40"/>
        <w:ind w:left="466" w:right="0" w:firstLine="4"/>
        <w:jc w:val="left"/>
        <w:rPr>
          <w:sz w:val="24"/>
        </w:rPr>
      </w:pPr>
      <w:r>
        <w:rPr/>
        <mc:AlternateContent>
          <mc:Choice Requires="wps">
            <w:drawing>
              <wp:anchor distT="0" distB="0" distL="0" distR="0" allowOverlap="1" layoutInCell="1" locked="0" behindDoc="1" simplePos="0" relativeHeight="486035456">
                <wp:simplePos x="0" y="0"/>
                <wp:positionH relativeFrom="page">
                  <wp:posOffset>1416897</wp:posOffset>
                </wp:positionH>
                <wp:positionV relativeFrom="paragraph">
                  <wp:posOffset>331114</wp:posOffset>
                </wp:positionV>
                <wp:extent cx="3040380" cy="103187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3040380" cy="1031875"/>
                          <a:chExt cx="3040380" cy="1031875"/>
                        </a:xfrm>
                      </wpg:grpSpPr>
                      <pic:pic>
                        <pic:nvPicPr>
                          <pic:cNvPr id="10" name="Image 10"/>
                          <pic:cNvPicPr/>
                        </pic:nvPicPr>
                        <pic:blipFill>
                          <a:blip r:embed="rId7" cstate="print"/>
                          <a:stretch>
                            <a:fillRect/>
                          </a:stretch>
                        </pic:blipFill>
                        <pic:spPr>
                          <a:xfrm>
                            <a:off x="11752" y="0"/>
                            <a:ext cx="2417715" cy="1031478"/>
                          </a:xfrm>
                          <a:prstGeom prst="rect">
                            <a:avLst/>
                          </a:prstGeom>
                        </pic:spPr>
                      </pic:pic>
                      <wps:wsp>
                        <wps:cNvPr id="11" name="Graphic 11"/>
                        <wps:cNvSpPr/>
                        <wps:spPr>
                          <a:xfrm>
                            <a:off x="2429470" y="555413"/>
                            <a:ext cx="610870" cy="1270"/>
                          </a:xfrm>
                          <a:custGeom>
                            <a:avLst/>
                            <a:gdLst/>
                            <a:ahLst/>
                            <a:cxnLst/>
                            <a:rect l="l" t="t" r="r" b="b"/>
                            <a:pathLst>
                              <a:path w="610870" h="0">
                                <a:moveTo>
                                  <a:pt x="0" y="0"/>
                                </a:moveTo>
                                <a:lnTo>
                                  <a:pt x="610534" y="0"/>
                                </a:lnTo>
                              </a:path>
                            </a:pathLst>
                          </a:custGeom>
                          <a:ln w="9155">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3040380" cy="1031875"/>
                          </a:xfrm>
                          <a:prstGeom prst="rect">
                            <a:avLst/>
                          </a:prstGeom>
                        </wps:spPr>
                        <wps:txbx>
                          <w:txbxContent>
                            <w:p>
                              <w:pPr>
                                <w:spacing w:line="240" w:lineRule="auto" w:before="0"/>
                                <w:rPr>
                                  <w:sz w:val="24"/>
                                </w:rPr>
                              </w:pPr>
                            </w:p>
                            <w:p>
                              <w:pPr>
                                <w:spacing w:line="240" w:lineRule="auto" w:before="0"/>
                                <w:rPr>
                                  <w:sz w:val="24"/>
                                </w:rPr>
                              </w:pPr>
                            </w:p>
                            <w:p>
                              <w:pPr>
                                <w:spacing w:line="240" w:lineRule="auto" w:before="72"/>
                                <w:rPr>
                                  <w:sz w:val="24"/>
                                </w:rPr>
                              </w:pPr>
                            </w:p>
                            <w:p>
                              <w:pPr>
                                <w:spacing w:line="242" w:lineRule="auto" w:before="0"/>
                                <w:ind w:left="0" w:right="1653" w:firstLine="5"/>
                                <w:jc w:val="left"/>
                                <w:rPr>
                                  <w:sz w:val="24"/>
                                </w:rPr>
                              </w:pPr>
                              <w:r>
                                <w:rPr>
                                  <w:b/>
                                  <w:spacing w:val="-2"/>
                                  <w:sz w:val="17"/>
                                </w:rPr>
                                <w:t>tl'1't!Fealra</w:t>
                              </w:r>
                              <w:r>
                                <w:rPr>
                                  <w:b/>
                                  <w:spacing w:val="-1"/>
                                  <w:sz w:val="17"/>
                                </w:rPr>
                                <w:t> </w:t>
                              </w:r>
                              <w:r>
                                <w:rPr>
                                  <w:spacing w:val="-2"/>
                                  <w:sz w:val="24"/>
                                </w:rPr>
                                <w:t>Cherry,</w:t>
                              </w:r>
                              <w:r>
                                <w:rPr>
                                  <w:spacing w:val="-13"/>
                                  <w:sz w:val="24"/>
                                </w:rPr>
                                <w:t> </w:t>
                              </w:r>
                              <w:r>
                                <w:rPr>
                                  <w:spacing w:val="-2"/>
                                  <w:sz w:val="24"/>
                                </w:rPr>
                                <w:t>Ph.D.,</w:t>
                              </w:r>
                              <w:r>
                                <w:rPr>
                                  <w:spacing w:val="-11"/>
                                  <w:sz w:val="24"/>
                                </w:rPr>
                                <w:t> </w:t>
                              </w:r>
                              <w:r>
                                <w:rPr>
                                  <w:spacing w:val="-2"/>
                                  <w:sz w:val="24"/>
                                </w:rPr>
                                <w:t>Member </w:t>
                              </w:r>
                              <w:r>
                                <w:rPr>
                                  <w:sz w:val="24"/>
                                </w:rPr>
                                <w:t>Department of Psychology</w:t>
                              </w:r>
                            </w:p>
                          </w:txbxContent>
                        </wps:txbx>
                        <wps:bodyPr wrap="square" lIns="0" tIns="0" rIns="0" bIns="0" rtlCol="0">
                          <a:noAutofit/>
                        </wps:bodyPr>
                      </wps:wsp>
                    </wpg:wgp>
                  </a:graphicData>
                </a:graphic>
              </wp:anchor>
            </w:drawing>
          </mc:Choice>
          <mc:Fallback>
            <w:pict>
              <v:group style="position:absolute;margin-left:111.566704pt;margin-top:26.072016pt;width:239.4pt;height:81.25pt;mso-position-horizontal-relative:page;mso-position-vertical-relative:paragraph;z-index:-17281024" id="docshapegroup6" coordorigin="2231,521" coordsize="4788,1625">
                <v:shape style="position:absolute;left:2249;top:521;width:3808;height:1625" type="#_x0000_t75" id="docshape7" stroked="false">
                  <v:imagedata r:id="rId7" o:title=""/>
                </v:shape>
                <v:line style="position:absolute" from="6057,1396" to="7019,1396" stroked="true" strokeweight=".720877pt" strokecolor="#000000">
                  <v:stroke dashstyle="solid"/>
                </v:line>
                <v:shapetype id="_x0000_t202" o:spt="202" coordsize="21600,21600" path="m,l,21600r21600,l21600,xe">
                  <v:stroke joinstyle="miter"/>
                  <v:path gradientshapeok="t" o:connecttype="rect"/>
                </v:shapetype>
                <v:shape style="position:absolute;left:2231;top:521;width:4788;height:1625" type="#_x0000_t202" id="docshape8" filled="false" stroked="false">
                  <v:textbox inset="0,0,0,0">
                    <w:txbxContent>
                      <w:p>
                        <w:pPr>
                          <w:spacing w:line="240" w:lineRule="auto" w:before="0"/>
                          <w:rPr>
                            <w:sz w:val="24"/>
                          </w:rPr>
                        </w:pPr>
                      </w:p>
                      <w:p>
                        <w:pPr>
                          <w:spacing w:line="240" w:lineRule="auto" w:before="0"/>
                          <w:rPr>
                            <w:sz w:val="24"/>
                          </w:rPr>
                        </w:pPr>
                      </w:p>
                      <w:p>
                        <w:pPr>
                          <w:spacing w:line="240" w:lineRule="auto" w:before="72"/>
                          <w:rPr>
                            <w:sz w:val="24"/>
                          </w:rPr>
                        </w:pPr>
                      </w:p>
                      <w:p>
                        <w:pPr>
                          <w:spacing w:line="242" w:lineRule="auto" w:before="0"/>
                          <w:ind w:left="0" w:right="1653" w:firstLine="5"/>
                          <w:jc w:val="left"/>
                          <w:rPr>
                            <w:sz w:val="24"/>
                          </w:rPr>
                        </w:pPr>
                        <w:r>
                          <w:rPr>
                            <w:b/>
                            <w:spacing w:val="-2"/>
                            <w:sz w:val="17"/>
                          </w:rPr>
                          <w:t>tl'1't!Fealra</w:t>
                        </w:r>
                        <w:r>
                          <w:rPr>
                            <w:b/>
                            <w:spacing w:val="-1"/>
                            <w:sz w:val="17"/>
                          </w:rPr>
                          <w:t> </w:t>
                        </w:r>
                        <w:r>
                          <w:rPr>
                            <w:spacing w:val="-2"/>
                            <w:sz w:val="24"/>
                          </w:rPr>
                          <w:t>Cherry,</w:t>
                        </w:r>
                        <w:r>
                          <w:rPr>
                            <w:spacing w:val="-13"/>
                            <w:sz w:val="24"/>
                          </w:rPr>
                          <w:t> </w:t>
                        </w:r>
                        <w:r>
                          <w:rPr>
                            <w:spacing w:val="-2"/>
                            <w:sz w:val="24"/>
                          </w:rPr>
                          <w:t>Ph.D.,</w:t>
                        </w:r>
                        <w:r>
                          <w:rPr>
                            <w:spacing w:val="-11"/>
                            <w:sz w:val="24"/>
                          </w:rPr>
                          <w:t> </w:t>
                        </w:r>
                        <w:r>
                          <w:rPr>
                            <w:spacing w:val="-2"/>
                            <w:sz w:val="24"/>
                          </w:rPr>
                          <w:t>Member </w:t>
                        </w:r>
                        <w:r>
                          <w:rPr>
                            <w:sz w:val="24"/>
                          </w:rPr>
                          <w:t>Department of Psychology</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3248">
                <wp:simplePos x="0" y="0"/>
                <wp:positionH relativeFrom="page">
                  <wp:posOffset>5397125</wp:posOffset>
                </wp:positionH>
                <wp:positionV relativeFrom="paragraph">
                  <wp:posOffset>10687</wp:posOffset>
                </wp:positionV>
                <wp:extent cx="1648460"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648460" cy="1270"/>
                        </a:xfrm>
                        <a:custGeom>
                          <a:avLst/>
                          <a:gdLst/>
                          <a:ahLst/>
                          <a:cxnLst/>
                          <a:rect l="l" t="t" r="r" b="b"/>
                          <a:pathLst>
                            <a:path w="1648460" h="0">
                              <a:moveTo>
                                <a:pt x="0" y="0"/>
                              </a:moveTo>
                              <a:lnTo>
                                <a:pt x="1648443"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424.97049pt,.841508pt" to="554.76917pt,.841508pt" stroked="true" strokeweight=".480585pt" strokecolor="#000000">
                <v:stroke dashstyle="solid"/>
                <w10:wrap type="none"/>
              </v:line>
            </w:pict>
          </mc:Fallback>
        </mc:AlternateContent>
      </w:r>
      <w:r>
        <w:rPr>
          <w:sz w:val="24"/>
        </w:rPr>
        <w:t>Laura Zettel-Watson, Ph.D., Committee Chair Department of</w:t>
      </w:r>
      <w:r>
        <w:rPr>
          <w:spacing w:val="80"/>
          <w:sz w:val="24"/>
        </w:rPr>
        <w:t> </w:t>
      </w:r>
      <w:r>
        <w:rPr>
          <w:sz w:val="24"/>
        </w:rPr>
        <w:t>sychology</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9"/>
        <w:rPr>
          <w:sz w:val="20"/>
        </w:rPr>
      </w:pPr>
    </w:p>
    <w:p>
      <w:pPr>
        <w:pStyle w:val="BodyText"/>
        <w:ind w:left="470" w:right="-288"/>
        <w:rPr>
          <w:sz w:val="20"/>
        </w:rPr>
      </w:pPr>
      <w:r>
        <w:rPr>
          <w:sz w:val="20"/>
        </w:rPr>
        <mc:AlternateContent>
          <mc:Choice Requires="wps">
            <w:drawing>
              <wp:inline distT="0" distB="0" distL="0" distR="0">
                <wp:extent cx="3041015" cy="440055"/>
                <wp:effectExtent l="0" t="0" r="0" b="7620"/>
                <wp:docPr id="14" name="Group 14"/>
                <wp:cNvGraphicFramePr>
                  <a:graphicFrameLocks/>
                </wp:cNvGraphicFramePr>
                <a:graphic>
                  <a:graphicData uri="http://schemas.microsoft.com/office/word/2010/wordprocessingGroup">
                    <wpg:wgp>
                      <wpg:cNvPr id="14" name="Group 14"/>
                      <wpg:cNvGrpSpPr/>
                      <wpg:grpSpPr>
                        <a:xfrm>
                          <a:off x="0" y="0"/>
                          <a:ext cx="3041015" cy="440055"/>
                          <a:chExt cx="3041015" cy="440055"/>
                        </a:xfrm>
                      </wpg:grpSpPr>
                      <pic:pic>
                        <pic:nvPicPr>
                          <pic:cNvPr id="15" name="Image 15"/>
                          <pic:cNvPicPr/>
                        </pic:nvPicPr>
                        <pic:blipFill>
                          <a:blip r:embed="rId8" cstate="print"/>
                          <a:stretch>
                            <a:fillRect/>
                          </a:stretch>
                        </pic:blipFill>
                        <pic:spPr>
                          <a:xfrm>
                            <a:off x="0" y="0"/>
                            <a:ext cx="2271187" cy="439446"/>
                          </a:xfrm>
                          <a:prstGeom prst="rect">
                            <a:avLst/>
                          </a:prstGeom>
                        </pic:spPr>
                      </pic:pic>
                      <wps:wsp>
                        <wps:cNvPr id="16" name="Graphic 16"/>
                        <wps:cNvSpPr/>
                        <wps:spPr>
                          <a:xfrm>
                            <a:off x="2271189" y="244139"/>
                            <a:ext cx="769620" cy="1270"/>
                          </a:xfrm>
                          <a:custGeom>
                            <a:avLst/>
                            <a:gdLst/>
                            <a:ahLst/>
                            <a:cxnLst/>
                            <a:rect l="l" t="t" r="r" b="b"/>
                            <a:pathLst>
                              <a:path w="769620" h="0">
                                <a:moveTo>
                                  <a:pt x="0" y="0"/>
                                </a:moveTo>
                                <a:lnTo>
                                  <a:pt x="769273" y="0"/>
                                </a:lnTo>
                              </a:path>
                            </a:pathLst>
                          </a:custGeom>
                          <a:ln w="610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9.45pt;height:34.65pt;mso-position-horizontal-relative:char;mso-position-vertical-relative:line" id="docshapegroup9" coordorigin="0,0" coordsize="4789,693">
                <v:shape style="position:absolute;left:0;top:0;width:3577;height:693" type="#_x0000_t75" id="docshape10" stroked="false">
                  <v:imagedata r:id="rId8" o:title=""/>
                </v:shape>
                <v:line style="position:absolute" from="3577,384" to="4788,384" stroked="true" strokeweight=".480585pt" strokecolor="#000000">
                  <v:stroke dashstyle="solid"/>
                </v:line>
              </v:group>
            </w:pict>
          </mc:Fallback>
        </mc:AlternateContent>
      </w:r>
      <w:r>
        <w:rPr>
          <w:sz w:val="20"/>
        </w:rPr>
      </w:r>
    </w:p>
    <w:p>
      <w:pPr>
        <w:spacing w:before="0"/>
        <w:ind w:left="465" w:right="0" w:firstLine="0"/>
        <w:jc w:val="left"/>
        <w:rPr>
          <w:sz w:val="24"/>
        </w:rPr>
      </w:pPr>
      <w:r>
        <w:rPr>
          <w:sz w:val="24"/>
        </w:rPr>
        <w:t>School</w:t>
      </w:r>
      <w:r>
        <w:rPr>
          <w:spacing w:val="15"/>
          <w:sz w:val="24"/>
        </w:rPr>
        <w:t> </w:t>
      </w:r>
      <w:r>
        <w:rPr>
          <w:sz w:val="24"/>
        </w:rPr>
        <w:t>of</w:t>
      </w:r>
      <w:r>
        <w:rPr>
          <w:spacing w:val="8"/>
          <w:sz w:val="24"/>
        </w:rPr>
        <w:t> </w:t>
      </w:r>
      <w:r>
        <w:rPr>
          <w:spacing w:val="-2"/>
          <w:sz w:val="24"/>
        </w:rPr>
        <w:t>Nursing</w:t>
      </w:r>
    </w:p>
    <w:p>
      <w:pPr>
        <w:spacing w:before="42"/>
        <w:ind w:left="10" w:right="27" w:firstLine="0"/>
        <w:jc w:val="center"/>
        <w:rPr>
          <w:sz w:val="24"/>
        </w:rPr>
      </w:pPr>
      <w:r>
        <w:rPr/>
        <w:br w:type="column"/>
      </w:r>
      <w:r>
        <w:rPr>
          <w:spacing w:val="-4"/>
          <w:sz w:val="24"/>
        </w:rPr>
        <w:t>Date</w:t>
      </w:r>
    </w:p>
    <w:p>
      <w:pPr>
        <w:pStyle w:val="BodyText"/>
        <w:rPr>
          <w:sz w:val="20"/>
        </w:rPr>
      </w:pPr>
    </w:p>
    <w:p>
      <w:pPr>
        <w:pStyle w:val="BodyText"/>
        <w:spacing w:before="41"/>
        <w:rPr>
          <w:sz w:val="20"/>
        </w:rPr>
      </w:pPr>
      <w:r>
        <w:rPr/>
        <w:drawing>
          <wp:anchor distT="0" distB="0" distL="0" distR="0" allowOverlap="1" layoutInCell="1" locked="0" behindDoc="1" simplePos="0" relativeHeight="487590400">
            <wp:simplePos x="0" y="0"/>
            <wp:positionH relativeFrom="page">
              <wp:posOffset>5800075</wp:posOffset>
            </wp:positionH>
            <wp:positionV relativeFrom="paragraph">
              <wp:posOffset>187626</wp:posOffset>
            </wp:positionV>
            <wp:extent cx="1076282" cy="286512"/>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9" cstate="print"/>
                    <a:stretch>
                      <a:fillRect/>
                    </a:stretch>
                  </pic:blipFill>
                  <pic:spPr>
                    <a:xfrm>
                      <a:off x="0" y="0"/>
                      <a:ext cx="1076282" cy="286512"/>
                    </a:xfrm>
                    <a:prstGeom prst="rect">
                      <a:avLst/>
                    </a:prstGeom>
                  </pic:spPr>
                </pic:pic>
              </a:graphicData>
            </a:graphic>
          </wp:anchor>
        </w:drawing>
      </w:r>
    </w:p>
    <w:p>
      <w:pPr>
        <w:spacing w:before="132"/>
        <w:ind w:left="0" w:right="27" w:firstLine="0"/>
        <w:jc w:val="center"/>
        <w:rPr>
          <w:sz w:val="24"/>
        </w:rPr>
      </w:pPr>
      <w:r>
        <w:rPr>
          <w:spacing w:val="-4"/>
          <w:sz w:val="24"/>
        </w:rPr>
        <w:t>Date</w:t>
      </w:r>
    </w:p>
    <w:p>
      <w:pPr>
        <w:pStyle w:val="BodyText"/>
        <w:rPr>
          <w:sz w:val="24"/>
        </w:rPr>
      </w:pPr>
    </w:p>
    <w:p>
      <w:pPr>
        <w:pStyle w:val="BodyText"/>
        <w:rPr>
          <w:sz w:val="24"/>
        </w:rPr>
      </w:pPr>
    </w:p>
    <w:p>
      <w:pPr>
        <w:pStyle w:val="BodyText"/>
        <w:rPr>
          <w:sz w:val="24"/>
        </w:rPr>
      </w:pPr>
    </w:p>
    <w:p>
      <w:pPr>
        <w:pStyle w:val="BodyText"/>
        <w:spacing w:before="9"/>
        <w:rPr>
          <w:sz w:val="24"/>
        </w:rPr>
      </w:pPr>
    </w:p>
    <w:p>
      <w:pPr>
        <w:spacing w:before="0"/>
        <w:ind w:left="0" w:right="27" w:firstLine="0"/>
        <w:jc w:val="center"/>
        <w:rPr>
          <w:sz w:val="24"/>
        </w:rPr>
      </w:pPr>
      <w:r>
        <w:rPr/>
        <mc:AlternateContent>
          <mc:Choice Requires="wps">
            <w:drawing>
              <wp:anchor distT="0" distB="0" distL="0" distR="0" allowOverlap="1" layoutInCell="1" locked="0" behindDoc="0" simplePos="0" relativeHeight="15732736">
                <wp:simplePos x="0" y="0"/>
                <wp:positionH relativeFrom="page">
                  <wp:posOffset>5384914</wp:posOffset>
                </wp:positionH>
                <wp:positionV relativeFrom="paragraph">
                  <wp:posOffset>-278776</wp:posOffset>
                </wp:positionV>
                <wp:extent cx="1661160" cy="26606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661160" cy="266065"/>
                          <a:chExt cx="1661160" cy="266065"/>
                        </a:xfrm>
                      </wpg:grpSpPr>
                      <pic:pic>
                        <pic:nvPicPr>
                          <pic:cNvPr id="19" name="Image 19"/>
                          <pic:cNvPicPr/>
                        </pic:nvPicPr>
                        <pic:blipFill>
                          <a:blip r:embed="rId10" cstate="print"/>
                          <a:stretch>
                            <a:fillRect/>
                          </a:stretch>
                        </pic:blipFill>
                        <pic:spPr>
                          <a:xfrm>
                            <a:off x="372423" y="0"/>
                            <a:ext cx="848642" cy="244136"/>
                          </a:xfrm>
                          <a:prstGeom prst="rect">
                            <a:avLst/>
                          </a:prstGeom>
                        </pic:spPr>
                      </pic:pic>
                      <wps:wsp>
                        <wps:cNvPr id="20" name="Graphic 20"/>
                        <wps:cNvSpPr/>
                        <wps:spPr>
                          <a:xfrm>
                            <a:off x="0" y="262449"/>
                            <a:ext cx="1661160" cy="1270"/>
                          </a:xfrm>
                          <a:custGeom>
                            <a:avLst/>
                            <a:gdLst/>
                            <a:ahLst/>
                            <a:cxnLst/>
                            <a:rect l="l" t="t" r="r" b="b"/>
                            <a:pathLst>
                              <a:path w="1661160" h="0">
                                <a:moveTo>
                                  <a:pt x="0" y="0"/>
                                </a:moveTo>
                                <a:lnTo>
                                  <a:pt x="1660653" y="0"/>
                                </a:lnTo>
                              </a:path>
                            </a:pathLst>
                          </a:custGeom>
                          <a:ln w="610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4.009033pt;margin-top:-21.950901pt;width:130.8pt;height:20.95pt;mso-position-horizontal-relative:page;mso-position-vertical-relative:paragraph;z-index:15732736" id="docshapegroup11" coordorigin="8480,-439" coordsize="2616,419">
                <v:shape style="position:absolute;left:9066;top:-440;width:1337;height:385" type="#_x0000_t75" id="docshape12" stroked="false">
                  <v:imagedata r:id="rId10" o:title=""/>
                </v:shape>
                <v:line style="position:absolute" from="8480,-26" to="11095,-26" stroked="true" strokeweight=".480585pt" strokecolor="#000000">
                  <v:stroke dashstyle="solid"/>
                </v:line>
                <w10:wrap type="none"/>
              </v:group>
            </w:pict>
          </mc:Fallback>
        </mc:AlternateContent>
      </w:r>
      <w:r>
        <w:rPr/>
        <mc:AlternateContent>
          <mc:Choice Requires="wps">
            <w:drawing>
              <wp:anchor distT="0" distB="0" distL="0" distR="0" allowOverlap="1" layoutInCell="1" locked="0" behindDoc="0" simplePos="0" relativeHeight="15733760">
                <wp:simplePos x="0" y="0"/>
                <wp:positionH relativeFrom="page">
                  <wp:posOffset>5397125</wp:posOffset>
                </wp:positionH>
                <wp:positionV relativeFrom="paragraph">
                  <wp:posOffset>-898271</wp:posOffset>
                </wp:positionV>
                <wp:extent cx="1648460" cy="12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648460" cy="1270"/>
                        </a:xfrm>
                        <a:custGeom>
                          <a:avLst/>
                          <a:gdLst/>
                          <a:ahLst/>
                          <a:cxnLst/>
                          <a:rect l="l" t="t" r="r" b="b"/>
                          <a:pathLst>
                            <a:path w="1648460" h="0">
                              <a:moveTo>
                                <a:pt x="0" y="0"/>
                              </a:moveTo>
                              <a:lnTo>
                                <a:pt x="1648443"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424.97049pt,-70.730042pt" to="554.76917pt,-70.730042pt" stroked="true" strokeweight=".720877pt" strokecolor="#000000">
                <v:stroke dashstyle="solid"/>
                <w10:wrap type="none"/>
              </v:line>
            </w:pict>
          </mc:Fallback>
        </mc:AlternateContent>
      </w:r>
      <w:r>
        <w:rPr>
          <w:spacing w:val="-4"/>
          <w:sz w:val="24"/>
        </w:rPr>
        <w:t>Date</w:t>
      </w:r>
    </w:p>
    <w:p>
      <w:pPr>
        <w:spacing w:after="0"/>
        <w:jc w:val="center"/>
        <w:rPr>
          <w:sz w:val="24"/>
        </w:rPr>
        <w:sectPr>
          <w:type w:val="continuous"/>
          <w:pgSz w:w="12530" w:h="15770"/>
          <w:pgMar w:top="1260" w:bottom="280" w:left="1760" w:right="1580"/>
          <w:cols w:num="2" w:equalWidth="0">
            <w:col w:w="5047" w:space="1862"/>
            <w:col w:w="2281"/>
          </w:cols>
        </w:sectPr>
      </w:pPr>
    </w:p>
    <w:p>
      <w:pPr>
        <w:pStyle w:val="BodyText"/>
        <w:spacing w:before="107"/>
        <w:ind w:left="166" w:right="158"/>
        <w:jc w:val="center"/>
        <w:rPr>
          <w:rFonts w:ascii="Arial"/>
        </w:rPr>
      </w:pPr>
      <w:r>
        <w:rPr>
          <w:rFonts w:ascii="Arial"/>
        </w:rPr>
        <w:t>UMI</w:t>
      </w:r>
      <w:r>
        <w:rPr>
          <w:rFonts w:ascii="Arial"/>
          <w:spacing w:val="7"/>
        </w:rPr>
        <w:t> </w:t>
      </w:r>
      <w:r>
        <w:rPr>
          <w:rFonts w:ascii="Arial"/>
        </w:rPr>
        <w:t>Number:</w:t>
      </w:r>
      <w:r>
        <w:rPr>
          <w:rFonts w:ascii="Arial"/>
          <w:spacing w:val="11"/>
        </w:rPr>
        <w:t> </w:t>
      </w:r>
      <w:r>
        <w:rPr>
          <w:rFonts w:ascii="Arial"/>
          <w:spacing w:val="-2"/>
        </w:rPr>
        <w:t>1521369</w:t>
      </w:r>
    </w:p>
    <w:p>
      <w:pPr>
        <w:pStyle w:val="BodyText"/>
        <w:rPr>
          <w:rFonts w:ascii="Arial"/>
        </w:rPr>
      </w:pPr>
    </w:p>
    <w:p>
      <w:pPr>
        <w:pStyle w:val="BodyText"/>
        <w:spacing w:before="77"/>
        <w:rPr>
          <w:rFonts w:ascii="Arial"/>
        </w:rPr>
      </w:pPr>
    </w:p>
    <w:p>
      <w:pPr>
        <w:pStyle w:val="BodyText"/>
        <w:spacing w:line="570" w:lineRule="atLeast" w:before="1"/>
        <w:ind w:left="2812" w:right="2806" w:hanging="17"/>
        <w:jc w:val="center"/>
        <w:rPr>
          <w:rFonts w:ascii="Arial"/>
        </w:rPr>
      </w:pPr>
      <w:r>
        <w:rPr>
          <w:rFonts w:ascii="Arial"/>
        </w:rPr>
        <w:t>All rights reserved INFORMATION</w:t>
      </w:r>
      <w:r>
        <w:rPr>
          <w:rFonts w:ascii="Arial"/>
          <w:spacing w:val="3"/>
        </w:rPr>
        <w:t> </w:t>
      </w:r>
      <w:r>
        <w:rPr>
          <w:rFonts w:ascii="Arial"/>
        </w:rPr>
        <w:t>TO</w:t>
      </w:r>
      <w:r>
        <w:rPr>
          <w:rFonts w:ascii="Arial"/>
          <w:spacing w:val="-15"/>
        </w:rPr>
        <w:t> </w:t>
      </w:r>
      <w:r>
        <w:rPr>
          <w:rFonts w:ascii="Arial"/>
        </w:rPr>
        <w:t>ALL</w:t>
      </w:r>
      <w:r>
        <w:rPr>
          <w:rFonts w:ascii="Arial"/>
          <w:spacing w:val="-15"/>
        </w:rPr>
        <w:t> </w:t>
      </w:r>
      <w:r>
        <w:rPr>
          <w:rFonts w:ascii="Arial"/>
        </w:rPr>
        <w:t>USERS</w:t>
      </w:r>
    </w:p>
    <w:p>
      <w:pPr>
        <w:pStyle w:val="BodyText"/>
        <w:spacing w:before="42"/>
        <w:ind w:right="14"/>
        <w:jc w:val="center"/>
        <w:rPr>
          <w:rFonts w:ascii="Arial"/>
        </w:rPr>
      </w:pPr>
      <w:r>
        <w:rPr>
          <w:rFonts w:ascii="Arial"/>
        </w:rPr>
        <w:t>The quality</w:t>
      </w:r>
      <w:r>
        <w:rPr>
          <w:rFonts w:ascii="Arial"/>
          <w:spacing w:val="8"/>
        </w:rPr>
        <w:t> </w:t>
      </w:r>
      <w:r>
        <w:rPr>
          <w:rFonts w:ascii="Arial"/>
        </w:rPr>
        <w:t>of</w:t>
      </w:r>
      <w:r>
        <w:rPr>
          <w:rFonts w:ascii="Arial"/>
          <w:spacing w:val="-1"/>
        </w:rPr>
        <w:t> </w:t>
      </w:r>
      <w:r>
        <w:rPr>
          <w:rFonts w:ascii="Arial"/>
        </w:rPr>
        <w:t>this</w:t>
      </w:r>
      <w:r>
        <w:rPr>
          <w:rFonts w:ascii="Arial"/>
          <w:spacing w:val="5"/>
        </w:rPr>
        <w:t> </w:t>
      </w:r>
      <w:r>
        <w:rPr>
          <w:rFonts w:ascii="Arial"/>
        </w:rPr>
        <w:t>reproduction</w:t>
      </w:r>
      <w:r>
        <w:rPr>
          <w:rFonts w:ascii="Arial"/>
          <w:spacing w:val="22"/>
        </w:rPr>
        <w:t> </w:t>
      </w:r>
      <w:r>
        <w:rPr>
          <w:rFonts w:ascii="Arial"/>
        </w:rPr>
        <w:t>is</w:t>
      </w:r>
      <w:r>
        <w:rPr>
          <w:rFonts w:ascii="Arial"/>
          <w:spacing w:val="-2"/>
        </w:rPr>
        <w:t> </w:t>
      </w:r>
      <w:r>
        <w:rPr>
          <w:rFonts w:ascii="Arial"/>
        </w:rPr>
        <w:t>dependent</w:t>
      </w:r>
      <w:r>
        <w:rPr>
          <w:rFonts w:ascii="Arial"/>
          <w:spacing w:val="22"/>
        </w:rPr>
        <w:t> </w:t>
      </w:r>
      <w:r>
        <w:rPr>
          <w:rFonts w:ascii="Arial"/>
        </w:rPr>
        <w:t>upon</w:t>
      </w:r>
      <w:r>
        <w:rPr>
          <w:rFonts w:ascii="Arial"/>
          <w:spacing w:val="8"/>
        </w:rPr>
        <w:t> </w:t>
      </w:r>
      <w:r>
        <w:rPr>
          <w:rFonts w:ascii="Arial"/>
        </w:rPr>
        <w:t>the</w:t>
      </w:r>
      <w:r>
        <w:rPr>
          <w:rFonts w:ascii="Arial"/>
          <w:spacing w:val="4"/>
        </w:rPr>
        <w:t> </w:t>
      </w:r>
      <w:r>
        <w:rPr>
          <w:rFonts w:ascii="Arial"/>
        </w:rPr>
        <w:t>quality</w:t>
      </w:r>
      <w:r>
        <w:rPr>
          <w:rFonts w:ascii="Arial"/>
          <w:spacing w:val="15"/>
        </w:rPr>
        <w:t> </w:t>
      </w:r>
      <w:r>
        <w:rPr>
          <w:rFonts w:ascii="Arial"/>
        </w:rPr>
        <w:t>of</w:t>
      </w:r>
      <w:r>
        <w:rPr>
          <w:rFonts w:ascii="Arial"/>
          <w:spacing w:val="-1"/>
        </w:rPr>
        <w:t> </w:t>
      </w:r>
      <w:r>
        <w:rPr>
          <w:rFonts w:ascii="Arial"/>
        </w:rPr>
        <w:t>the</w:t>
      </w:r>
      <w:r>
        <w:rPr>
          <w:rFonts w:ascii="Arial"/>
          <w:spacing w:val="5"/>
        </w:rPr>
        <w:t> </w:t>
      </w:r>
      <w:r>
        <w:rPr>
          <w:rFonts w:ascii="Arial"/>
        </w:rPr>
        <w:t>copy</w:t>
      </w:r>
      <w:r>
        <w:rPr>
          <w:rFonts w:ascii="Arial"/>
          <w:spacing w:val="5"/>
        </w:rPr>
        <w:t> </w:t>
      </w:r>
      <w:r>
        <w:rPr>
          <w:rFonts w:ascii="Arial"/>
          <w:spacing w:val="-2"/>
        </w:rPr>
        <w:t>submitted.</w:t>
      </w:r>
    </w:p>
    <w:p>
      <w:pPr>
        <w:pStyle w:val="BodyText"/>
        <w:spacing w:before="70"/>
        <w:rPr>
          <w:rFonts w:ascii="Arial"/>
        </w:rPr>
      </w:pPr>
    </w:p>
    <w:p>
      <w:pPr>
        <w:pStyle w:val="BodyText"/>
        <w:ind w:left="160" w:right="158"/>
        <w:jc w:val="center"/>
        <w:rPr>
          <w:rFonts w:ascii="Arial"/>
        </w:rPr>
      </w:pPr>
      <w:r>
        <w:rPr>
          <w:rFonts w:ascii="Arial"/>
        </w:rPr>
        <w:t>In</w:t>
      </w:r>
      <w:r>
        <w:rPr>
          <w:rFonts w:ascii="Arial"/>
          <w:spacing w:val="2"/>
        </w:rPr>
        <w:t> </w:t>
      </w:r>
      <w:r>
        <w:rPr>
          <w:rFonts w:ascii="Arial"/>
        </w:rPr>
        <w:t>the unlikely</w:t>
      </w:r>
      <w:r>
        <w:rPr>
          <w:rFonts w:ascii="Arial"/>
          <w:spacing w:val="16"/>
        </w:rPr>
        <w:t> </w:t>
      </w:r>
      <w:r>
        <w:rPr>
          <w:rFonts w:ascii="Arial"/>
        </w:rPr>
        <w:t>event</w:t>
      </w:r>
      <w:r>
        <w:rPr>
          <w:rFonts w:ascii="Arial"/>
          <w:spacing w:val="4"/>
        </w:rPr>
        <w:t> </w:t>
      </w:r>
      <w:r>
        <w:rPr>
          <w:rFonts w:ascii="Arial"/>
        </w:rPr>
        <w:t>that</w:t>
      </w:r>
      <w:r>
        <w:rPr>
          <w:rFonts w:ascii="Arial"/>
          <w:spacing w:val="5"/>
        </w:rPr>
        <w:t> </w:t>
      </w:r>
      <w:r>
        <w:rPr>
          <w:rFonts w:ascii="Arial"/>
        </w:rPr>
        <w:t>the</w:t>
      </w:r>
      <w:r>
        <w:rPr>
          <w:rFonts w:ascii="Arial"/>
          <w:spacing w:val="2"/>
        </w:rPr>
        <w:t> </w:t>
      </w:r>
      <w:r>
        <w:rPr>
          <w:rFonts w:ascii="Arial"/>
        </w:rPr>
        <w:t>author</w:t>
      </w:r>
      <w:r>
        <w:rPr>
          <w:rFonts w:ascii="Arial"/>
          <w:spacing w:val="15"/>
        </w:rPr>
        <w:t> </w:t>
      </w:r>
      <w:r>
        <w:rPr>
          <w:rFonts w:ascii="Arial"/>
        </w:rPr>
        <w:t>did</w:t>
      </w:r>
      <w:r>
        <w:rPr>
          <w:rFonts w:ascii="Arial"/>
          <w:spacing w:val="3"/>
        </w:rPr>
        <w:t> </w:t>
      </w:r>
      <w:r>
        <w:rPr>
          <w:rFonts w:ascii="Arial"/>
        </w:rPr>
        <w:t>not</w:t>
      </w:r>
      <w:r>
        <w:rPr>
          <w:rFonts w:ascii="Arial"/>
          <w:spacing w:val="5"/>
        </w:rPr>
        <w:t> </w:t>
      </w:r>
      <w:r>
        <w:rPr>
          <w:rFonts w:ascii="Arial"/>
        </w:rPr>
        <w:t>send</w:t>
      </w:r>
      <w:r>
        <w:rPr>
          <w:rFonts w:ascii="Arial"/>
          <w:spacing w:val="7"/>
        </w:rPr>
        <w:t> </w:t>
      </w:r>
      <w:r>
        <w:rPr>
          <w:rFonts w:ascii="Arial"/>
        </w:rPr>
        <w:t>a</w:t>
      </w:r>
      <w:r>
        <w:rPr>
          <w:rFonts w:ascii="Arial"/>
          <w:spacing w:val="2"/>
        </w:rPr>
        <w:t> </w:t>
      </w:r>
      <w:r>
        <w:rPr>
          <w:rFonts w:ascii="Arial"/>
        </w:rPr>
        <w:t>complete</w:t>
      </w:r>
      <w:r>
        <w:rPr>
          <w:rFonts w:ascii="Arial"/>
          <w:spacing w:val="15"/>
        </w:rPr>
        <w:t> </w:t>
      </w:r>
      <w:r>
        <w:rPr>
          <w:rFonts w:ascii="Arial"/>
          <w:spacing w:val="-2"/>
        </w:rPr>
        <w:t>manuscript</w:t>
      </w:r>
    </w:p>
    <w:p>
      <w:pPr>
        <w:pStyle w:val="BodyText"/>
        <w:spacing w:line="273" w:lineRule="auto" w:before="36"/>
        <w:ind w:left="151" w:right="158"/>
        <w:jc w:val="center"/>
        <w:rPr>
          <w:rFonts w:ascii="Arial"/>
        </w:rPr>
      </w:pPr>
      <w:r>
        <w:rPr>
          <w:rFonts w:ascii="Arial"/>
        </w:rPr>
        <w:t>and there are missing pages,</w:t>
      </w:r>
      <w:r>
        <w:rPr>
          <w:rFonts w:ascii="Arial"/>
          <w:spacing w:val="16"/>
        </w:rPr>
        <w:t> </w:t>
      </w:r>
      <w:r>
        <w:rPr>
          <w:rFonts w:ascii="Arial"/>
        </w:rPr>
        <w:t>these will be noted.</w:t>
      </w:r>
      <w:r>
        <w:rPr>
          <w:rFonts w:ascii="Arial"/>
          <w:spacing w:val="66"/>
        </w:rPr>
        <w:t> </w:t>
      </w:r>
      <w:r>
        <w:rPr>
          <w:rFonts w:ascii="Arial"/>
        </w:rPr>
        <w:t>Also, if</w:t>
      </w:r>
      <w:r>
        <w:rPr>
          <w:rFonts w:ascii="Arial"/>
          <w:spacing w:val="-4"/>
        </w:rPr>
        <w:t> </w:t>
      </w:r>
      <w:r>
        <w:rPr>
          <w:rFonts w:ascii="Arial"/>
        </w:rPr>
        <w:t>material had to</w:t>
      </w:r>
      <w:r>
        <w:rPr>
          <w:rFonts w:ascii="Arial"/>
          <w:spacing w:val="-2"/>
        </w:rPr>
        <w:t> </w:t>
      </w:r>
      <w:r>
        <w:rPr>
          <w:rFonts w:ascii="Arial"/>
        </w:rPr>
        <w:t>be removed, a note will indicate the deletion.</w:t>
      </w:r>
    </w:p>
    <w:p>
      <w:pPr>
        <w:pStyle w:val="BodyText"/>
        <w:rPr>
          <w:rFonts w:ascii="Arial"/>
          <w:sz w:val="20"/>
        </w:rPr>
      </w:pPr>
    </w:p>
    <w:p>
      <w:pPr>
        <w:pStyle w:val="BodyText"/>
        <w:rPr>
          <w:rFonts w:ascii="Arial"/>
          <w:sz w:val="20"/>
        </w:rPr>
      </w:pPr>
    </w:p>
    <w:p>
      <w:pPr>
        <w:pStyle w:val="BodyText"/>
        <w:spacing w:before="73"/>
        <w:rPr>
          <w:rFonts w:ascii="Arial"/>
          <w:sz w:val="20"/>
        </w:rPr>
      </w:pPr>
      <w:r>
        <w:rPr/>
        <mc:AlternateContent>
          <mc:Choice Requires="wps">
            <w:drawing>
              <wp:anchor distT="0" distB="0" distL="0" distR="0" allowOverlap="1" layoutInCell="1" locked="0" behindDoc="1" simplePos="0" relativeHeight="487593472">
                <wp:simplePos x="0" y="0"/>
                <wp:positionH relativeFrom="page">
                  <wp:posOffset>3394687</wp:posOffset>
                </wp:positionH>
                <wp:positionV relativeFrom="paragraph">
                  <wp:posOffset>208201</wp:posOffset>
                </wp:positionV>
                <wp:extent cx="1331595" cy="662305"/>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331595" cy="662305"/>
                          <a:chExt cx="1331595" cy="662305"/>
                        </a:xfrm>
                      </wpg:grpSpPr>
                      <pic:pic>
                        <pic:nvPicPr>
                          <pic:cNvPr id="23" name="Image 23"/>
                          <pic:cNvPicPr/>
                        </pic:nvPicPr>
                        <pic:blipFill>
                          <a:blip r:embed="rId11" cstate="print"/>
                          <a:stretch>
                            <a:fillRect/>
                          </a:stretch>
                        </pic:blipFill>
                        <pic:spPr>
                          <a:xfrm>
                            <a:off x="36634" y="0"/>
                            <a:ext cx="1294377" cy="662217"/>
                          </a:xfrm>
                          <a:prstGeom prst="rect">
                            <a:avLst/>
                          </a:prstGeom>
                        </pic:spPr>
                      </pic:pic>
                      <wps:wsp>
                        <wps:cNvPr id="24" name="Graphic 24"/>
                        <wps:cNvSpPr/>
                        <wps:spPr>
                          <a:xfrm>
                            <a:off x="18316" y="76291"/>
                            <a:ext cx="1270" cy="440055"/>
                          </a:xfrm>
                          <a:custGeom>
                            <a:avLst/>
                            <a:gdLst/>
                            <a:ahLst/>
                            <a:cxnLst/>
                            <a:rect l="l" t="t" r="r" b="b"/>
                            <a:pathLst>
                              <a:path w="0" h="440055">
                                <a:moveTo>
                                  <a:pt x="0" y="439443"/>
                                </a:moveTo>
                                <a:lnTo>
                                  <a:pt x="0" y="0"/>
                                </a:lnTo>
                              </a:path>
                            </a:pathLst>
                          </a:custGeom>
                          <a:ln w="36633">
                            <a:solidFill>
                              <a:srgbClr val="000000"/>
                            </a:solidFill>
                            <a:prstDash val="solid"/>
                          </a:ln>
                        </wps:spPr>
                        <wps:bodyPr wrap="square" lIns="0" tIns="0" rIns="0" bIns="0" rtlCol="0">
                          <a:prstTxWarp prst="textNoShape">
                            <a:avLst/>
                          </a:prstTxWarp>
                          <a:noAutofit/>
                        </wps:bodyPr>
                      </wps:wsp>
                      <wps:wsp>
                        <wps:cNvPr id="25" name="Graphic 25"/>
                        <wps:cNvSpPr/>
                        <wps:spPr>
                          <a:xfrm>
                            <a:off x="485677" y="640855"/>
                            <a:ext cx="621665" cy="1270"/>
                          </a:xfrm>
                          <a:custGeom>
                            <a:avLst/>
                            <a:gdLst/>
                            <a:ahLst/>
                            <a:cxnLst/>
                            <a:rect l="l" t="t" r="r" b="b"/>
                            <a:pathLst>
                              <a:path w="621665" h="0">
                                <a:moveTo>
                                  <a:pt x="0" y="0"/>
                                </a:moveTo>
                                <a:lnTo>
                                  <a:pt x="12211" y="0"/>
                                </a:lnTo>
                              </a:path>
                              <a:path w="621665" h="0">
                                <a:moveTo>
                                  <a:pt x="597195" y="0"/>
                                </a:moveTo>
                                <a:lnTo>
                                  <a:pt x="621617" y="0"/>
                                </a:lnTo>
                              </a:path>
                            </a:pathLst>
                          </a:custGeom>
                          <a:ln w="12717">
                            <a:solidFill>
                              <a:srgbClr val="000000"/>
                            </a:solidFill>
                            <a:prstDash val="solid"/>
                          </a:ln>
                        </wps:spPr>
                        <wps:bodyPr wrap="square" lIns="0" tIns="0" rIns="0" bIns="0" rtlCol="0">
                          <a:prstTxWarp prst="textNoShape">
                            <a:avLst/>
                          </a:prstTxWarp>
                          <a:noAutofit/>
                        </wps:bodyPr>
                      </wps:wsp>
                      <wps:wsp>
                        <wps:cNvPr id="26" name="Textbox 26"/>
                        <wps:cNvSpPr txBox="1"/>
                        <wps:spPr>
                          <a:xfrm>
                            <a:off x="117957" y="554524"/>
                            <a:ext cx="391795" cy="106680"/>
                          </a:xfrm>
                          <a:prstGeom prst="rect">
                            <a:avLst/>
                          </a:prstGeom>
                        </wps:spPr>
                        <wps:txbx>
                          <w:txbxContent>
                            <w:p>
                              <w:pPr>
                                <w:tabs>
                                  <w:tab w:pos="262" w:val="left" w:leader="none"/>
                                </w:tabs>
                                <w:spacing w:line="168" w:lineRule="exact" w:before="0"/>
                                <w:ind w:left="0" w:right="0" w:firstLine="0"/>
                                <w:jc w:val="left"/>
                                <w:rPr>
                                  <w:rFonts w:ascii="Arial" w:hAnsi="Arial"/>
                                  <w:sz w:val="15"/>
                                </w:rPr>
                              </w:pPr>
                              <w:r>
                                <w:rPr>
                                  <w:rFonts w:ascii="Arial" w:hAnsi="Arial"/>
                                  <w:spacing w:val="-10"/>
                                  <w:w w:val="95"/>
                                  <w:sz w:val="15"/>
                                </w:rPr>
                                <w:t>.</w:t>
                              </w:r>
                              <w:r>
                                <w:rPr>
                                  <w:rFonts w:ascii="Arial" w:hAnsi="Arial"/>
                                  <w:sz w:val="15"/>
                                </w:rPr>
                                <w:tab/>
                              </w:r>
                              <w:r>
                                <w:rPr>
                                  <w:rFonts w:ascii="Arial" w:hAnsi="Arial"/>
                                  <w:w w:val="60"/>
                                  <w:sz w:val="15"/>
                                </w:rPr>
                                <w:t>•</w:t>
                              </w:r>
                              <w:r>
                                <w:rPr>
                                  <w:rFonts w:ascii="Arial" w:hAnsi="Arial"/>
                                  <w:spacing w:val="61"/>
                                  <w:w w:val="150"/>
                                  <w:sz w:val="15"/>
                                </w:rPr>
                                <w:t> </w:t>
                              </w:r>
                              <w:r>
                                <w:rPr>
                                  <w:rFonts w:ascii="Arial" w:hAnsi="Arial"/>
                                  <w:w w:val="60"/>
                                  <w:sz w:val="15"/>
                                </w:rPr>
                                <w:t>••.</w:t>
                              </w:r>
                              <w:r>
                                <w:rPr>
                                  <w:rFonts w:ascii="Arial" w:hAnsi="Arial"/>
                                  <w:spacing w:val="26"/>
                                  <w:sz w:val="15"/>
                                </w:rPr>
                                <w:t> </w:t>
                              </w:r>
                              <w:r>
                                <w:rPr>
                                  <w:rFonts w:ascii="Arial" w:hAnsi="Arial"/>
                                  <w:spacing w:val="-10"/>
                                  <w:w w:val="60"/>
                                  <w:sz w:val="15"/>
                                </w:rPr>
                                <w:t>I</w:t>
                              </w:r>
                            </w:p>
                          </w:txbxContent>
                        </wps:txbx>
                        <wps:bodyPr wrap="square" lIns="0" tIns="0" rIns="0" bIns="0" rtlCol="0">
                          <a:noAutofit/>
                        </wps:bodyPr>
                      </wps:wsp>
                      <wps:wsp>
                        <wps:cNvPr id="27" name="Textbox 27"/>
                        <wps:cNvSpPr txBox="1"/>
                        <wps:spPr>
                          <a:xfrm>
                            <a:off x="788094" y="554524"/>
                            <a:ext cx="328295" cy="106680"/>
                          </a:xfrm>
                          <a:prstGeom prst="rect">
                            <a:avLst/>
                          </a:prstGeom>
                        </wps:spPr>
                        <wps:txbx>
                          <w:txbxContent>
                            <w:p>
                              <w:pPr>
                                <w:tabs>
                                  <w:tab w:pos="464" w:val="left" w:leader="none"/>
                                </w:tabs>
                                <w:spacing w:line="168" w:lineRule="exact" w:before="0"/>
                                <w:ind w:left="0" w:right="0" w:firstLine="0"/>
                                <w:jc w:val="left"/>
                                <w:rPr>
                                  <w:b/>
                                  <w:sz w:val="13"/>
                                </w:rPr>
                              </w:pPr>
                              <w:r>
                                <w:rPr>
                                  <w:rFonts w:ascii="Arial" w:hAnsi="Arial"/>
                                  <w:w w:val="90"/>
                                  <w:sz w:val="15"/>
                                </w:rPr>
                                <w:t>.</w:t>
                              </w:r>
                              <w:r>
                                <w:rPr>
                                  <w:rFonts w:ascii="Arial" w:hAnsi="Arial"/>
                                  <w:spacing w:val="11"/>
                                  <w:sz w:val="15"/>
                                </w:rPr>
                                <w:t> </w:t>
                              </w:r>
                              <w:r>
                                <w:rPr>
                                  <w:rFonts w:ascii="Arial" w:hAnsi="Arial"/>
                                  <w:spacing w:val="-4"/>
                                  <w:w w:val="90"/>
                                  <w:sz w:val="15"/>
                                </w:rPr>
                                <w:t>:..•</w:t>
                              </w:r>
                              <w:r>
                                <w:rPr>
                                  <w:rFonts w:ascii="Arial" w:hAnsi="Arial"/>
                                  <w:sz w:val="15"/>
                                </w:rPr>
                                <w:tab/>
                              </w:r>
                              <w:r>
                                <w:rPr>
                                  <w:b/>
                                  <w:spacing w:val="-12"/>
                                  <w:w w:val="80"/>
                                  <w:sz w:val="13"/>
                                </w:rPr>
                                <w:t>1</w:t>
                              </w:r>
                            </w:p>
                          </w:txbxContent>
                        </wps:txbx>
                        <wps:bodyPr wrap="square" lIns="0" tIns="0" rIns="0" bIns="0" rtlCol="0">
                          <a:noAutofit/>
                        </wps:bodyPr>
                      </wps:wsp>
                    </wpg:wgp>
                  </a:graphicData>
                </a:graphic>
              </wp:anchor>
            </w:drawing>
          </mc:Choice>
          <mc:Fallback>
            <w:pict>
              <v:group style="position:absolute;margin-left:267.298218pt;margin-top:16.393820pt;width:104.85pt;height:52.15pt;mso-position-horizontal-relative:page;mso-position-vertical-relative:paragraph;z-index:-15723008;mso-wrap-distance-left:0;mso-wrap-distance-right:0" id="docshapegroup13" coordorigin="5346,328" coordsize="2097,1043">
                <v:shape style="position:absolute;left:5403;top:327;width:2039;height:1043" type="#_x0000_t75" id="docshape14" stroked="false">
                  <v:imagedata r:id="rId11" o:title=""/>
                </v:shape>
                <v:line style="position:absolute" from="5375,1140" to="5375,448" stroked="true" strokeweight="2.884513pt" strokecolor="#000000">
                  <v:stroke dashstyle="solid"/>
                </v:line>
                <v:shape style="position:absolute;left:6110;top:1337;width:979;height:2" id="docshape15" coordorigin="6111,1337" coordsize="979,0" path="m6111,1337l6130,1337m7051,1337l7090,1337e" filled="false" stroked="true" strokeweight="1.00139pt" strokecolor="#000000">
                  <v:path arrowok="t"/>
                  <v:stroke dashstyle="solid"/>
                </v:shape>
                <v:shape style="position:absolute;left:5531;top:1201;width:617;height:168" type="#_x0000_t202" id="docshape16" filled="false" stroked="false">
                  <v:textbox inset="0,0,0,0">
                    <w:txbxContent>
                      <w:p>
                        <w:pPr>
                          <w:tabs>
                            <w:tab w:pos="262" w:val="left" w:leader="none"/>
                          </w:tabs>
                          <w:spacing w:line="168" w:lineRule="exact" w:before="0"/>
                          <w:ind w:left="0" w:right="0" w:firstLine="0"/>
                          <w:jc w:val="left"/>
                          <w:rPr>
                            <w:rFonts w:ascii="Arial" w:hAnsi="Arial"/>
                            <w:sz w:val="15"/>
                          </w:rPr>
                        </w:pPr>
                        <w:r>
                          <w:rPr>
                            <w:rFonts w:ascii="Arial" w:hAnsi="Arial"/>
                            <w:spacing w:val="-10"/>
                            <w:w w:val="95"/>
                            <w:sz w:val="15"/>
                          </w:rPr>
                          <w:t>.</w:t>
                        </w:r>
                        <w:r>
                          <w:rPr>
                            <w:rFonts w:ascii="Arial" w:hAnsi="Arial"/>
                            <w:sz w:val="15"/>
                          </w:rPr>
                          <w:tab/>
                        </w:r>
                        <w:r>
                          <w:rPr>
                            <w:rFonts w:ascii="Arial" w:hAnsi="Arial"/>
                            <w:w w:val="60"/>
                            <w:sz w:val="15"/>
                          </w:rPr>
                          <w:t>•</w:t>
                        </w:r>
                        <w:r>
                          <w:rPr>
                            <w:rFonts w:ascii="Arial" w:hAnsi="Arial"/>
                            <w:spacing w:val="61"/>
                            <w:w w:val="150"/>
                            <w:sz w:val="15"/>
                          </w:rPr>
                          <w:t> </w:t>
                        </w:r>
                        <w:r>
                          <w:rPr>
                            <w:rFonts w:ascii="Arial" w:hAnsi="Arial"/>
                            <w:w w:val="60"/>
                            <w:sz w:val="15"/>
                          </w:rPr>
                          <w:t>••.</w:t>
                        </w:r>
                        <w:r>
                          <w:rPr>
                            <w:rFonts w:ascii="Arial" w:hAnsi="Arial"/>
                            <w:spacing w:val="26"/>
                            <w:sz w:val="15"/>
                          </w:rPr>
                          <w:t> </w:t>
                        </w:r>
                        <w:r>
                          <w:rPr>
                            <w:rFonts w:ascii="Arial" w:hAnsi="Arial"/>
                            <w:spacing w:val="-10"/>
                            <w:w w:val="60"/>
                            <w:sz w:val="15"/>
                          </w:rPr>
                          <w:t>I</w:t>
                        </w:r>
                      </w:p>
                    </w:txbxContent>
                  </v:textbox>
                  <w10:wrap type="none"/>
                </v:shape>
                <v:shape style="position:absolute;left:6587;top:1201;width:517;height:168" type="#_x0000_t202" id="docshape17" filled="false" stroked="false">
                  <v:textbox inset="0,0,0,0">
                    <w:txbxContent>
                      <w:p>
                        <w:pPr>
                          <w:tabs>
                            <w:tab w:pos="464" w:val="left" w:leader="none"/>
                          </w:tabs>
                          <w:spacing w:line="168" w:lineRule="exact" w:before="0"/>
                          <w:ind w:left="0" w:right="0" w:firstLine="0"/>
                          <w:jc w:val="left"/>
                          <w:rPr>
                            <w:b/>
                            <w:sz w:val="13"/>
                          </w:rPr>
                        </w:pPr>
                        <w:r>
                          <w:rPr>
                            <w:rFonts w:ascii="Arial" w:hAnsi="Arial"/>
                            <w:w w:val="90"/>
                            <w:sz w:val="15"/>
                          </w:rPr>
                          <w:t>.</w:t>
                        </w:r>
                        <w:r>
                          <w:rPr>
                            <w:rFonts w:ascii="Arial" w:hAnsi="Arial"/>
                            <w:spacing w:val="11"/>
                            <w:sz w:val="15"/>
                          </w:rPr>
                          <w:t> </w:t>
                        </w:r>
                        <w:r>
                          <w:rPr>
                            <w:rFonts w:ascii="Arial" w:hAnsi="Arial"/>
                            <w:spacing w:val="-4"/>
                            <w:w w:val="90"/>
                            <w:sz w:val="15"/>
                          </w:rPr>
                          <w:t>:..•</w:t>
                        </w:r>
                        <w:r>
                          <w:rPr>
                            <w:rFonts w:ascii="Arial" w:hAnsi="Arial"/>
                            <w:sz w:val="15"/>
                          </w:rPr>
                          <w:tab/>
                        </w:r>
                        <w:r>
                          <w:rPr>
                            <w:b/>
                            <w:spacing w:val="-12"/>
                            <w:w w:val="80"/>
                            <w:sz w:val="13"/>
                          </w:rPr>
                          <w:t>1</w:t>
                        </w:r>
                      </w:p>
                    </w:txbxContent>
                  </v:textbox>
                  <w10:wrap type="none"/>
                </v:shape>
                <w10:wrap type="topAndBottom"/>
              </v:group>
            </w:pict>
          </mc:Fallback>
        </mc:AlternateContent>
      </w:r>
    </w:p>
    <w:p>
      <w:pPr>
        <w:tabs>
          <w:tab w:pos="4199" w:val="left" w:leader="none"/>
        </w:tabs>
        <w:spacing w:before="20"/>
        <w:ind w:left="2998" w:right="0" w:firstLine="0"/>
        <w:jc w:val="left"/>
        <w:rPr>
          <w:rFonts w:ascii="Arial"/>
          <w:sz w:val="23"/>
        </w:rPr>
      </w:pPr>
      <w:r>
        <w:rPr>
          <w:rFonts w:ascii="Arial"/>
          <w:w w:val="115"/>
          <w:sz w:val="24"/>
          <w:u w:val="thick"/>
        </w:rPr>
        <w:t>.,._</w:t>
      </w:r>
      <w:r>
        <w:rPr>
          <w:rFonts w:ascii="Arial"/>
          <w:w w:val="115"/>
          <w:sz w:val="24"/>
          <w:u w:val="none"/>
        </w:rPr>
        <w:t>.</w:t>
      </w:r>
      <w:r>
        <w:rPr>
          <w:rFonts w:ascii="Arial"/>
          <w:spacing w:val="-20"/>
          <w:w w:val="115"/>
          <w:sz w:val="24"/>
          <w:u w:val="none"/>
        </w:rPr>
        <w:t> </w:t>
      </w:r>
      <w:r>
        <w:rPr>
          <w:rFonts w:ascii="Arial"/>
          <w:spacing w:val="-5"/>
          <w:w w:val="140"/>
          <w:sz w:val="24"/>
          <w:u w:val="none"/>
        </w:rPr>
        <w:t>Di</w:t>
      </w:r>
      <w:r>
        <w:rPr>
          <w:rFonts w:ascii="Arial"/>
          <w:sz w:val="24"/>
          <w:u w:val="none"/>
        </w:rPr>
        <w:tab/>
      </w:r>
      <w:r>
        <w:rPr>
          <w:rFonts w:ascii="Arial"/>
          <w:w w:val="130"/>
          <w:sz w:val="24"/>
          <w:u w:val="none"/>
        </w:rPr>
        <w:t>ion</w:t>
      </w:r>
      <w:r>
        <w:rPr>
          <w:rFonts w:ascii="Arial"/>
          <w:spacing w:val="-64"/>
          <w:w w:val="130"/>
          <w:sz w:val="24"/>
          <w:u w:val="none"/>
        </w:rPr>
        <w:t> </w:t>
      </w:r>
      <w:r>
        <w:rPr>
          <w:rFonts w:ascii="Arial"/>
          <w:w w:val="125"/>
          <w:sz w:val="23"/>
          <w:u w:val="none"/>
        </w:rPr>
        <w:t>Fub'li</w:t>
      </w:r>
      <w:r>
        <w:rPr>
          <w:rFonts w:ascii="Arial"/>
          <w:spacing w:val="-18"/>
          <w:w w:val="125"/>
          <w:sz w:val="23"/>
          <w:u w:val="none"/>
        </w:rPr>
        <w:t> </w:t>
      </w:r>
      <w:r>
        <w:rPr>
          <w:rFonts w:ascii="Arial"/>
          <w:w w:val="125"/>
          <w:sz w:val="23"/>
          <w:u w:val="none"/>
        </w:rPr>
        <w:t>ng</w:t>
      </w:r>
      <w:r>
        <w:rPr>
          <w:rFonts w:ascii="Arial"/>
          <w:w w:val="125"/>
          <w:sz w:val="23"/>
          <w:u w:val="thick"/>
        </w:rPr>
        <w:t>--</w:t>
      </w:r>
      <w:r>
        <w:rPr>
          <w:rFonts w:ascii="Arial"/>
          <w:spacing w:val="-2"/>
          <w:w w:val="125"/>
          <w:sz w:val="23"/>
          <w:u w:val="thick"/>
        </w:rPr>
        <w:t>.....</w:t>
      </w:r>
    </w:p>
    <w:p>
      <w:pPr>
        <w:pStyle w:val="BodyText"/>
        <w:rPr>
          <w:rFonts w:ascii="Arial"/>
          <w:sz w:val="23"/>
        </w:rPr>
      </w:pPr>
    </w:p>
    <w:p>
      <w:pPr>
        <w:pStyle w:val="BodyText"/>
        <w:spacing w:before="131"/>
        <w:rPr>
          <w:rFonts w:ascii="Arial"/>
          <w:sz w:val="23"/>
        </w:rPr>
      </w:pPr>
    </w:p>
    <w:p>
      <w:pPr>
        <w:spacing w:before="0"/>
        <w:ind w:left="168" w:right="158" w:firstLine="0"/>
        <w:jc w:val="center"/>
        <w:rPr>
          <w:rFonts w:ascii="Arial"/>
          <w:sz w:val="22"/>
        </w:rPr>
      </w:pPr>
      <w:r>
        <w:rPr>
          <w:rFonts w:ascii="Arial"/>
          <w:b/>
          <w:sz w:val="21"/>
        </w:rPr>
        <w:t>UMI</w:t>
      </w:r>
      <w:r>
        <w:rPr>
          <w:rFonts w:ascii="Arial"/>
          <w:b/>
          <w:spacing w:val="26"/>
          <w:sz w:val="21"/>
        </w:rPr>
        <w:t> </w:t>
      </w:r>
      <w:r>
        <w:rPr>
          <w:rFonts w:ascii="Arial"/>
          <w:spacing w:val="-2"/>
          <w:sz w:val="22"/>
        </w:rPr>
        <w:t>1521369</w:t>
      </w:r>
    </w:p>
    <w:p>
      <w:pPr>
        <w:pStyle w:val="BodyText"/>
        <w:spacing w:before="60"/>
        <w:ind w:left="163" w:right="158"/>
        <w:jc w:val="center"/>
        <w:rPr>
          <w:rFonts w:ascii="Arial"/>
        </w:rPr>
      </w:pPr>
      <w:r>
        <w:rPr>
          <w:rFonts w:ascii="Arial"/>
        </w:rPr>
        <w:t>Published</w:t>
      </w:r>
      <w:r>
        <w:rPr>
          <w:rFonts w:ascii="Arial"/>
          <w:spacing w:val="14"/>
        </w:rPr>
        <w:t> </w:t>
      </w:r>
      <w:r>
        <w:rPr>
          <w:rFonts w:ascii="Arial"/>
        </w:rPr>
        <w:t>by</w:t>
      </w:r>
      <w:r>
        <w:rPr>
          <w:rFonts w:ascii="Arial"/>
          <w:spacing w:val="3"/>
        </w:rPr>
        <w:t> </w:t>
      </w:r>
      <w:r>
        <w:rPr>
          <w:rFonts w:ascii="Arial"/>
        </w:rPr>
        <w:t>ProQuest</w:t>
      </w:r>
      <w:r>
        <w:rPr>
          <w:rFonts w:ascii="Arial"/>
          <w:spacing w:val="16"/>
        </w:rPr>
        <w:t> </w:t>
      </w:r>
      <w:r>
        <w:rPr>
          <w:rFonts w:ascii="Arial"/>
        </w:rPr>
        <w:t>LLC</w:t>
      </w:r>
      <w:r>
        <w:rPr>
          <w:rFonts w:ascii="Arial"/>
          <w:spacing w:val="8"/>
        </w:rPr>
        <w:t> </w:t>
      </w:r>
      <w:r>
        <w:rPr>
          <w:rFonts w:ascii="Arial"/>
        </w:rPr>
        <w:t>2012.</w:t>
      </w:r>
      <w:r>
        <w:rPr>
          <w:rFonts w:ascii="Arial"/>
          <w:spacing w:val="71"/>
        </w:rPr>
        <w:t> </w:t>
      </w:r>
      <w:r>
        <w:rPr>
          <w:rFonts w:ascii="Arial"/>
        </w:rPr>
        <w:t>Copyright</w:t>
      </w:r>
      <w:r>
        <w:rPr>
          <w:rFonts w:ascii="Arial"/>
          <w:spacing w:val="10"/>
        </w:rPr>
        <w:t> </w:t>
      </w:r>
      <w:r>
        <w:rPr>
          <w:rFonts w:ascii="Arial"/>
        </w:rPr>
        <w:t>in</w:t>
      </w:r>
      <w:r>
        <w:rPr>
          <w:rFonts w:ascii="Arial"/>
          <w:spacing w:val="-3"/>
        </w:rPr>
        <w:t> </w:t>
      </w:r>
      <w:r>
        <w:rPr>
          <w:rFonts w:ascii="Arial"/>
        </w:rPr>
        <w:t>the</w:t>
      </w:r>
      <w:r>
        <w:rPr>
          <w:rFonts w:ascii="Arial"/>
          <w:spacing w:val="2"/>
        </w:rPr>
        <w:t> </w:t>
      </w:r>
      <w:r>
        <w:rPr>
          <w:rFonts w:ascii="Arial"/>
        </w:rPr>
        <w:t>Dissertation</w:t>
      </w:r>
      <w:r>
        <w:rPr>
          <w:rFonts w:ascii="Arial"/>
          <w:spacing w:val="15"/>
        </w:rPr>
        <w:t> </w:t>
      </w:r>
      <w:r>
        <w:rPr>
          <w:rFonts w:ascii="Arial"/>
        </w:rPr>
        <w:t>held</w:t>
      </w:r>
      <w:r>
        <w:rPr>
          <w:rFonts w:ascii="Arial"/>
          <w:spacing w:val="2"/>
        </w:rPr>
        <w:t> </w:t>
      </w:r>
      <w:r>
        <w:rPr>
          <w:rFonts w:ascii="Arial"/>
        </w:rPr>
        <w:t>by</w:t>
      </w:r>
      <w:r>
        <w:rPr>
          <w:rFonts w:ascii="Arial"/>
          <w:spacing w:val="3"/>
        </w:rPr>
        <w:t> </w:t>
      </w:r>
      <w:r>
        <w:rPr>
          <w:rFonts w:ascii="Arial"/>
        </w:rPr>
        <w:t>the</w:t>
      </w:r>
      <w:r>
        <w:rPr>
          <w:rFonts w:ascii="Arial"/>
          <w:spacing w:val="-13"/>
        </w:rPr>
        <w:t> </w:t>
      </w:r>
      <w:r>
        <w:rPr>
          <w:rFonts w:ascii="Arial"/>
          <w:spacing w:val="-2"/>
        </w:rPr>
        <w:t>Author.</w:t>
      </w:r>
    </w:p>
    <w:p>
      <w:pPr>
        <w:pStyle w:val="BodyText"/>
        <w:spacing w:before="35"/>
        <w:ind w:left="167" w:right="158"/>
        <w:jc w:val="center"/>
        <w:rPr>
          <w:rFonts w:ascii="Arial" w:hAnsi="Arial"/>
        </w:rPr>
      </w:pPr>
      <w:r>
        <w:rPr>
          <w:rFonts w:ascii="Arial" w:hAnsi="Arial"/>
        </w:rPr>
        <w:t>Microform</w:t>
      </w:r>
      <w:r>
        <w:rPr>
          <w:rFonts w:ascii="Arial" w:hAnsi="Arial"/>
          <w:spacing w:val="22"/>
        </w:rPr>
        <w:t> </w:t>
      </w:r>
      <w:r>
        <w:rPr>
          <w:rFonts w:ascii="Arial" w:hAnsi="Arial"/>
        </w:rPr>
        <w:t>Edition</w:t>
      </w:r>
      <w:r>
        <w:rPr>
          <w:rFonts w:ascii="Arial" w:hAnsi="Arial"/>
          <w:spacing w:val="8"/>
        </w:rPr>
        <w:t> </w:t>
      </w:r>
      <w:r>
        <w:rPr>
          <w:rFonts w:ascii="Arial" w:hAnsi="Arial"/>
        </w:rPr>
        <w:t>©</w:t>
      </w:r>
      <w:r>
        <w:rPr>
          <w:rFonts w:ascii="Arial" w:hAnsi="Arial"/>
          <w:spacing w:val="2"/>
        </w:rPr>
        <w:t> </w:t>
      </w:r>
      <w:r>
        <w:rPr>
          <w:rFonts w:ascii="Arial" w:hAnsi="Arial"/>
        </w:rPr>
        <w:t>ProQuest</w:t>
      </w:r>
      <w:r>
        <w:rPr>
          <w:rFonts w:ascii="Arial" w:hAnsi="Arial"/>
          <w:spacing w:val="12"/>
        </w:rPr>
        <w:t> </w:t>
      </w:r>
      <w:r>
        <w:rPr>
          <w:rFonts w:ascii="Arial" w:hAnsi="Arial"/>
          <w:spacing w:val="-4"/>
        </w:rPr>
        <w:t>LLC.</w:t>
      </w:r>
    </w:p>
    <w:p>
      <w:pPr>
        <w:pStyle w:val="BodyText"/>
        <w:spacing w:line="273" w:lineRule="auto" w:before="36"/>
        <w:ind w:left="1573" w:right="1562" w:hanging="17"/>
        <w:jc w:val="center"/>
        <w:rPr>
          <w:rFonts w:ascii="Arial"/>
        </w:rPr>
      </w:pPr>
      <w:r>
        <w:rPr>
          <w:rFonts w:ascii="Arial"/>
        </w:rPr>
        <w:t>All rights reserved.</w:t>
      </w:r>
      <w:r>
        <w:rPr>
          <w:rFonts w:ascii="Arial"/>
          <w:spacing w:val="40"/>
        </w:rPr>
        <w:t> </w:t>
      </w:r>
      <w:r>
        <w:rPr>
          <w:rFonts w:ascii="Arial"/>
        </w:rPr>
        <w:t>This work is protected against unauthorized copying under Title 17, United States Code.</w:t>
      </w:r>
    </w:p>
    <w:p>
      <w:pPr>
        <w:pStyle w:val="BodyText"/>
        <w:rPr>
          <w:rFonts w:ascii="Arial"/>
          <w:sz w:val="20"/>
        </w:rPr>
      </w:pPr>
    </w:p>
    <w:p>
      <w:pPr>
        <w:pStyle w:val="BodyText"/>
        <w:rPr>
          <w:rFonts w:ascii="Arial"/>
          <w:sz w:val="20"/>
        </w:rPr>
      </w:pPr>
    </w:p>
    <w:p>
      <w:pPr>
        <w:pStyle w:val="BodyText"/>
        <w:spacing w:before="217"/>
        <w:rPr>
          <w:rFonts w:ascii="Arial"/>
          <w:sz w:val="20"/>
        </w:rPr>
      </w:pPr>
      <w:r>
        <w:rPr/>
        <w:drawing>
          <wp:anchor distT="0" distB="0" distL="0" distR="0" allowOverlap="1" layoutInCell="1" locked="0" behindDoc="1" simplePos="0" relativeHeight="487593984">
            <wp:simplePos x="0" y="0"/>
            <wp:positionH relativeFrom="page">
              <wp:posOffset>2680338</wp:posOffset>
            </wp:positionH>
            <wp:positionV relativeFrom="paragraph">
              <wp:posOffset>299620</wp:posOffset>
            </wp:positionV>
            <wp:extent cx="2799057" cy="1078991"/>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2" cstate="print"/>
                    <a:stretch>
                      <a:fillRect/>
                    </a:stretch>
                  </pic:blipFill>
                  <pic:spPr>
                    <a:xfrm>
                      <a:off x="0" y="0"/>
                      <a:ext cx="2799057" cy="1078991"/>
                    </a:xfrm>
                    <a:prstGeom prst="rect">
                      <a:avLst/>
                    </a:prstGeom>
                  </pic:spPr>
                </pic:pic>
              </a:graphicData>
            </a:graphic>
          </wp:anchor>
        </w:drawing>
      </w:r>
    </w:p>
    <w:p>
      <w:pPr>
        <w:pStyle w:val="BodyText"/>
        <w:spacing w:before="71"/>
        <w:rPr>
          <w:rFonts w:ascii="Arial"/>
        </w:rPr>
      </w:pPr>
    </w:p>
    <w:p>
      <w:pPr>
        <w:pStyle w:val="BodyText"/>
        <w:ind w:left="178" w:right="158"/>
        <w:jc w:val="center"/>
        <w:rPr>
          <w:rFonts w:ascii="Arial"/>
        </w:rPr>
      </w:pPr>
      <w:r>
        <w:rPr>
          <w:rFonts w:ascii="Arial"/>
        </w:rPr>
        <w:t>ProQuest</w:t>
      </w:r>
      <w:r>
        <w:rPr>
          <w:rFonts w:ascii="Arial"/>
          <w:spacing w:val="12"/>
        </w:rPr>
        <w:t> </w:t>
      </w:r>
      <w:r>
        <w:rPr>
          <w:rFonts w:ascii="Arial"/>
          <w:spacing w:val="-5"/>
        </w:rPr>
        <w:t>LLC</w:t>
      </w:r>
    </w:p>
    <w:p>
      <w:pPr>
        <w:pStyle w:val="BodyText"/>
        <w:spacing w:before="35"/>
        <w:ind w:left="2889"/>
        <w:rPr>
          <w:rFonts w:ascii="Arial"/>
        </w:rPr>
      </w:pPr>
      <w:r>
        <w:rPr>
          <w:rFonts w:ascii="Arial"/>
        </w:rPr>
        <w:t>789</w:t>
      </w:r>
      <w:r>
        <w:rPr>
          <w:rFonts w:ascii="Arial"/>
          <w:spacing w:val="7"/>
        </w:rPr>
        <w:t> </w:t>
      </w:r>
      <w:r>
        <w:rPr>
          <w:rFonts w:ascii="Arial"/>
        </w:rPr>
        <w:t>East</w:t>
      </w:r>
      <w:r>
        <w:rPr>
          <w:rFonts w:ascii="Arial"/>
          <w:spacing w:val="5"/>
        </w:rPr>
        <w:t> </w:t>
      </w:r>
      <w:r>
        <w:rPr>
          <w:rFonts w:ascii="Arial"/>
        </w:rPr>
        <w:t>Eisenhower</w:t>
      </w:r>
      <w:r>
        <w:rPr>
          <w:rFonts w:ascii="Arial"/>
          <w:spacing w:val="24"/>
        </w:rPr>
        <w:t> </w:t>
      </w:r>
      <w:r>
        <w:rPr>
          <w:rFonts w:ascii="Arial"/>
          <w:spacing w:val="-2"/>
        </w:rPr>
        <w:t>Parkway</w:t>
      </w:r>
    </w:p>
    <w:p>
      <w:pPr>
        <w:pStyle w:val="BodyText"/>
        <w:spacing w:before="36"/>
        <w:ind w:left="3705"/>
        <w:rPr>
          <w:rFonts w:ascii="Arial"/>
        </w:rPr>
      </w:pPr>
      <w:r>
        <w:rPr>
          <w:rFonts w:ascii="Arial"/>
        </w:rPr>
        <w:t>P.O.</w:t>
      </w:r>
      <w:r>
        <w:rPr>
          <w:rFonts w:ascii="Arial"/>
          <w:spacing w:val="-6"/>
        </w:rPr>
        <w:t> </w:t>
      </w:r>
      <w:r>
        <w:rPr>
          <w:rFonts w:ascii="Arial"/>
        </w:rPr>
        <w:t>Box</w:t>
      </w:r>
      <w:r>
        <w:rPr>
          <w:rFonts w:ascii="Arial"/>
          <w:spacing w:val="-15"/>
        </w:rPr>
        <w:t> </w:t>
      </w:r>
      <w:r>
        <w:rPr>
          <w:rFonts w:ascii="Arial"/>
          <w:spacing w:val="-4"/>
        </w:rPr>
        <w:t>1346</w:t>
      </w:r>
    </w:p>
    <w:p>
      <w:pPr>
        <w:pStyle w:val="BodyText"/>
        <w:spacing w:before="35"/>
        <w:ind w:left="3063"/>
        <w:rPr>
          <w:rFonts w:ascii="Arial"/>
        </w:rPr>
      </w:pPr>
      <w:r>
        <w:rPr>
          <w:rFonts w:ascii="Arial"/>
        </w:rPr>
        <w:t>Ann</w:t>
      </w:r>
      <w:r>
        <w:rPr>
          <w:rFonts w:ascii="Arial"/>
          <w:spacing w:val="-18"/>
        </w:rPr>
        <w:t> </w:t>
      </w:r>
      <w:r>
        <w:rPr>
          <w:rFonts w:ascii="Arial"/>
        </w:rPr>
        <w:t>Arbor,</w:t>
      </w:r>
      <w:r>
        <w:rPr>
          <w:rFonts w:ascii="Arial"/>
          <w:spacing w:val="12"/>
        </w:rPr>
        <w:t> </w:t>
      </w:r>
      <w:r>
        <w:rPr>
          <w:rFonts w:ascii="Arial"/>
        </w:rPr>
        <w:t>MI</w:t>
      </w:r>
      <w:r>
        <w:rPr>
          <w:rFonts w:ascii="Arial"/>
          <w:spacing w:val="58"/>
        </w:rPr>
        <w:t> </w:t>
      </w:r>
      <w:r>
        <w:rPr>
          <w:rFonts w:ascii="Arial"/>
        </w:rPr>
        <w:t>48106-</w:t>
      </w:r>
      <w:r>
        <w:rPr>
          <w:rFonts w:ascii="Arial"/>
          <w:spacing w:val="-4"/>
        </w:rPr>
        <w:t>1346</w:t>
      </w:r>
    </w:p>
    <w:p>
      <w:pPr>
        <w:spacing w:after="0"/>
        <w:rPr>
          <w:rFonts w:ascii="Arial"/>
        </w:rPr>
        <w:sectPr>
          <w:pgSz w:w="12250" w:h="15840"/>
          <w:pgMar w:top="1820" w:bottom="280" w:left="1720" w:right="1720"/>
        </w:sectPr>
      </w:pPr>
    </w:p>
    <w:p>
      <w:pPr>
        <w:pStyle w:val="BodyText"/>
        <w:rPr>
          <w:rFonts w:ascii="Arial"/>
        </w:rPr>
      </w:pPr>
    </w:p>
    <w:p>
      <w:pPr>
        <w:pStyle w:val="BodyText"/>
        <w:rPr>
          <w:rFonts w:ascii="Arial"/>
        </w:rPr>
      </w:pPr>
    </w:p>
    <w:p>
      <w:pPr>
        <w:pStyle w:val="BodyText"/>
        <w:rPr>
          <w:rFonts w:ascii="Arial"/>
        </w:rPr>
      </w:pPr>
    </w:p>
    <w:p>
      <w:pPr>
        <w:pStyle w:val="BodyText"/>
        <w:spacing w:before="164"/>
        <w:rPr>
          <w:rFonts w:ascii="Arial"/>
        </w:rPr>
      </w:pPr>
    </w:p>
    <w:p>
      <w:pPr>
        <w:pStyle w:val="BodyText"/>
        <w:ind w:left="435" w:right="104"/>
        <w:jc w:val="center"/>
      </w:pPr>
      <w:r>
        <w:rPr>
          <w:spacing w:val="-2"/>
          <w:w w:val="105"/>
        </w:rPr>
        <w:t>ABSTRACT</w:t>
      </w:r>
    </w:p>
    <w:p>
      <w:pPr>
        <w:pStyle w:val="BodyText"/>
      </w:pPr>
    </w:p>
    <w:p>
      <w:pPr>
        <w:pStyle w:val="BodyText"/>
        <w:spacing w:before="24"/>
      </w:pPr>
    </w:p>
    <w:p>
      <w:pPr>
        <w:pStyle w:val="BodyText"/>
        <w:spacing w:line="494" w:lineRule="auto"/>
        <w:ind w:left="475" w:right="212" w:firstLine="694"/>
      </w:pPr>
      <w:r>
        <w:rPr>
          <w:w w:val="105"/>
        </w:rPr>
        <w:t>The objective of the present study was to analyze the association</w:t>
      </w:r>
      <w:r>
        <w:rPr>
          <w:spacing w:val="40"/>
          <w:w w:val="105"/>
        </w:rPr>
        <w:t> </w:t>
      </w:r>
      <w:r>
        <w:rPr>
          <w:w w:val="105"/>
        </w:rPr>
        <w:t>between the symptoms of fibromyalgia (FM, chronic pain symptoms</w:t>
      </w:r>
      <w:r>
        <w:rPr>
          <w:spacing w:val="34"/>
          <w:w w:val="105"/>
        </w:rPr>
        <w:t> </w:t>
      </w:r>
      <w:r>
        <w:rPr>
          <w:w w:val="105"/>
        </w:rPr>
        <w:t>in particular) leisure activities (as measured</w:t>
      </w:r>
      <w:r>
        <w:rPr>
          <w:spacing w:val="40"/>
          <w:w w:val="105"/>
        </w:rPr>
        <w:t> </w:t>
      </w:r>
      <w:r>
        <w:rPr>
          <w:w w:val="105"/>
        </w:rPr>
        <w:t>by a Social/Leisure Activity questionnaire), and depressive symptoms (as measured</w:t>
      </w:r>
      <w:r>
        <w:rPr>
          <w:spacing w:val="36"/>
          <w:w w:val="105"/>
        </w:rPr>
        <w:t> </w:t>
      </w:r>
      <w:r>
        <w:rPr>
          <w:w w:val="105"/>
        </w:rPr>
        <w:t>by the Beck Depression</w:t>
      </w:r>
      <w:r>
        <w:rPr>
          <w:w w:val="105"/>
        </w:rPr>
        <w:t> Inventory</w:t>
      </w:r>
      <w:r>
        <w:rPr>
          <w:w w:val="105"/>
        </w:rPr>
        <w:t> II).</w:t>
      </w:r>
      <w:r>
        <w:rPr>
          <w:spacing w:val="-6"/>
          <w:w w:val="105"/>
        </w:rPr>
        <w:t> </w:t>
      </w:r>
      <w:r>
        <w:rPr>
          <w:w w:val="105"/>
        </w:rPr>
        <w:t>The</w:t>
      </w:r>
      <w:r>
        <w:rPr>
          <w:spacing w:val="-1"/>
          <w:w w:val="105"/>
        </w:rPr>
        <w:t> </w:t>
      </w:r>
      <w:r>
        <w:rPr>
          <w:w w:val="105"/>
        </w:rPr>
        <w:t>current study used</w:t>
      </w:r>
      <w:r>
        <w:rPr>
          <w:w w:val="105"/>
        </w:rPr>
        <w:t> both cross­ sectional and longitudinal data from two waves of a parent study (Jones, Rutledge, &amp; Aquino,</w:t>
      </w:r>
      <w:r>
        <w:rPr>
          <w:spacing w:val="-5"/>
          <w:w w:val="105"/>
        </w:rPr>
        <w:t> </w:t>
      </w:r>
      <w:r>
        <w:rPr>
          <w:w w:val="105"/>
        </w:rPr>
        <w:t>20</w:t>
      </w:r>
      <w:r>
        <w:rPr>
          <w:spacing w:val="-34"/>
          <w:w w:val="105"/>
        </w:rPr>
        <w:t> </w:t>
      </w:r>
      <w:r>
        <w:rPr>
          <w:w w:val="105"/>
        </w:rPr>
        <w:t>IO;</w:t>
      </w:r>
      <w:r>
        <w:rPr>
          <w:spacing w:val="-3"/>
          <w:w w:val="105"/>
        </w:rPr>
        <w:t> </w:t>
      </w:r>
      <w:r>
        <w:rPr>
          <w:w w:val="105"/>
        </w:rPr>
        <w:t>Rutledge, Cherry, Rose, Rakovski, &amp;</w:t>
      </w:r>
      <w:r>
        <w:rPr>
          <w:spacing w:val="-4"/>
          <w:w w:val="105"/>
        </w:rPr>
        <w:t> </w:t>
      </w:r>
      <w:r>
        <w:rPr>
          <w:w w:val="105"/>
        </w:rPr>
        <w:t>Jones, 2010).</w:t>
      </w:r>
      <w:r>
        <w:rPr>
          <w:spacing w:val="-8"/>
          <w:w w:val="105"/>
        </w:rPr>
        <w:t> </w:t>
      </w:r>
      <w:r>
        <w:rPr>
          <w:w w:val="105"/>
        </w:rPr>
        <w:t>Secondary</w:t>
      </w:r>
      <w:r>
        <w:rPr>
          <w:spacing w:val="-1"/>
          <w:w w:val="105"/>
        </w:rPr>
        <w:t> </w:t>
      </w:r>
      <w:r>
        <w:rPr>
          <w:w w:val="105"/>
        </w:rPr>
        <w:t>analyses</w:t>
      </w:r>
      <w:r>
        <w:rPr>
          <w:spacing w:val="-10"/>
          <w:w w:val="105"/>
        </w:rPr>
        <w:t> </w:t>
      </w:r>
      <w:r>
        <w:rPr>
          <w:w w:val="105"/>
        </w:rPr>
        <w:t>of data were performed</w:t>
      </w:r>
      <w:r>
        <w:rPr>
          <w:spacing w:val="28"/>
          <w:w w:val="105"/>
        </w:rPr>
        <w:t> </w:t>
      </w:r>
      <w:r>
        <w:rPr>
          <w:w w:val="105"/>
        </w:rPr>
        <w:t>using a</w:t>
      </w:r>
      <w:r>
        <w:rPr>
          <w:spacing w:val="-6"/>
          <w:w w:val="105"/>
        </w:rPr>
        <w:t> </w:t>
      </w:r>
      <w:r>
        <w:rPr>
          <w:w w:val="105"/>
        </w:rPr>
        <w:t>sample of</w:t>
      </w:r>
      <w:r>
        <w:rPr>
          <w:spacing w:val="-1"/>
          <w:w w:val="105"/>
        </w:rPr>
        <w:t> </w:t>
      </w:r>
      <w:r>
        <w:rPr>
          <w:w w:val="105"/>
        </w:rPr>
        <w:t>70 participants</w:t>
      </w:r>
      <w:r>
        <w:rPr>
          <w:spacing w:val="25"/>
          <w:w w:val="105"/>
        </w:rPr>
        <w:t> </w:t>
      </w:r>
      <w:r>
        <w:rPr>
          <w:w w:val="105"/>
        </w:rPr>
        <w:t>with</w:t>
      </w:r>
      <w:r>
        <w:rPr>
          <w:spacing w:val="27"/>
          <w:w w:val="105"/>
        </w:rPr>
        <w:t> </w:t>
      </w:r>
      <w:r>
        <w:rPr>
          <w:w w:val="105"/>
        </w:rPr>
        <w:t>FM (93% female, mean age 60 years) and 76 participants without FM (67% female, mean age 68 years). To get a longitudinal</w:t>
      </w:r>
      <w:r>
        <w:rPr>
          <w:spacing w:val="30"/>
          <w:w w:val="105"/>
        </w:rPr>
        <w:t> </w:t>
      </w:r>
      <w:r>
        <w:rPr>
          <w:w w:val="105"/>
        </w:rPr>
        <w:t>perspective, we used data from</w:t>
      </w:r>
      <w:r>
        <w:rPr>
          <w:w w:val="105"/>
        </w:rPr>
        <w:t> participants with FM who participated</w:t>
      </w:r>
      <w:r>
        <w:rPr>
          <w:spacing w:val="28"/>
          <w:w w:val="105"/>
        </w:rPr>
        <w:t> </w:t>
      </w:r>
      <w:r>
        <w:rPr>
          <w:w w:val="105"/>
        </w:rPr>
        <w:t>in</w:t>
      </w:r>
    </w:p>
    <w:p>
      <w:pPr>
        <w:pStyle w:val="BodyText"/>
        <w:spacing w:line="267" w:lineRule="exact"/>
        <w:ind w:left="494"/>
      </w:pPr>
      <w:r>
        <w:rPr>
          <w:w w:val="105"/>
        </w:rPr>
        <w:t>both</w:t>
      </w:r>
      <w:r>
        <w:rPr>
          <w:spacing w:val="-5"/>
          <w:w w:val="105"/>
        </w:rPr>
        <w:t> </w:t>
      </w:r>
      <w:r>
        <w:rPr>
          <w:w w:val="105"/>
        </w:rPr>
        <w:t>the</w:t>
      </w:r>
      <w:r>
        <w:rPr>
          <w:spacing w:val="-9"/>
          <w:w w:val="105"/>
        </w:rPr>
        <w:t> </w:t>
      </w:r>
      <w:r>
        <w:rPr>
          <w:w w:val="105"/>
        </w:rPr>
        <w:t>first</w:t>
      </w:r>
      <w:r>
        <w:rPr>
          <w:spacing w:val="-4"/>
          <w:w w:val="105"/>
        </w:rPr>
        <w:t> </w:t>
      </w:r>
      <w:r>
        <w:rPr>
          <w:w w:val="105"/>
        </w:rPr>
        <w:t>and second</w:t>
      </w:r>
      <w:r>
        <w:rPr>
          <w:spacing w:val="12"/>
          <w:w w:val="105"/>
        </w:rPr>
        <w:t> </w:t>
      </w:r>
      <w:r>
        <w:rPr>
          <w:w w:val="105"/>
        </w:rPr>
        <w:t>waves</w:t>
      </w:r>
      <w:r>
        <w:rPr>
          <w:spacing w:val="-10"/>
          <w:w w:val="105"/>
        </w:rPr>
        <w:t> </w:t>
      </w:r>
      <w:r>
        <w:rPr>
          <w:w w:val="105"/>
        </w:rPr>
        <w:t>of</w:t>
      </w:r>
      <w:r>
        <w:rPr>
          <w:spacing w:val="3"/>
          <w:w w:val="105"/>
        </w:rPr>
        <w:t> </w:t>
      </w:r>
      <w:r>
        <w:rPr>
          <w:w w:val="105"/>
        </w:rPr>
        <w:t>data</w:t>
      </w:r>
      <w:r>
        <w:rPr>
          <w:spacing w:val="-9"/>
          <w:w w:val="105"/>
        </w:rPr>
        <w:t> </w:t>
      </w:r>
      <w:r>
        <w:rPr>
          <w:w w:val="105"/>
        </w:rPr>
        <w:t>collection</w:t>
      </w:r>
      <w:r>
        <w:rPr>
          <w:spacing w:val="6"/>
          <w:w w:val="105"/>
        </w:rPr>
        <w:t> </w:t>
      </w:r>
      <w:r>
        <w:rPr>
          <w:w w:val="105"/>
        </w:rPr>
        <w:t>(N</w:t>
      </w:r>
      <w:r>
        <w:rPr>
          <w:spacing w:val="-5"/>
          <w:w w:val="105"/>
        </w:rPr>
        <w:t> </w:t>
      </w:r>
      <w:r>
        <w:rPr>
          <w:w w:val="105"/>
          <w:sz w:val="26"/>
        </w:rPr>
        <w:t>=</w:t>
      </w:r>
      <w:r>
        <w:rPr>
          <w:spacing w:val="-17"/>
          <w:w w:val="105"/>
          <w:sz w:val="26"/>
        </w:rPr>
        <w:t> </w:t>
      </w:r>
      <w:r>
        <w:rPr>
          <w:w w:val="105"/>
        </w:rPr>
        <w:t>78).</w:t>
      </w:r>
      <w:r>
        <w:rPr>
          <w:spacing w:val="-6"/>
          <w:w w:val="105"/>
        </w:rPr>
        <w:t> </w:t>
      </w:r>
      <w:r>
        <w:rPr>
          <w:w w:val="105"/>
        </w:rPr>
        <w:t>Participants diagnosed</w:t>
      </w:r>
      <w:r>
        <w:rPr>
          <w:spacing w:val="23"/>
          <w:w w:val="105"/>
        </w:rPr>
        <w:t> </w:t>
      </w:r>
      <w:r>
        <w:rPr>
          <w:spacing w:val="-4"/>
          <w:w w:val="105"/>
        </w:rPr>
        <w:t>with</w:t>
      </w:r>
    </w:p>
    <w:p>
      <w:pPr>
        <w:pStyle w:val="BodyText"/>
        <w:spacing w:before="5"/>
      </w:pPr>
    </w:p>
    <w:p>
      <w:pPr>
        <w:pStyle w:val="BodyText"/>
        <w:spacing w:line="494" w:lineRule="auto"/>
        <w:ind w:left="480" w:right="254" w:firstLine="10"/>
      </w:pPr>
      <w:r>
        <w:rPr>
          <w:w w:val="105"/>
        </w:rPr>
        <w:t>FM had higher levels of</w:t>
      </w:r>
      <w:r>
        <w:rPr>
          <w:spacing w:val="-2"/>
          <w:w w:val="105"/>
        </w:rPr>
        <w:t> </w:t>
      </w:r>
      <w:r>
        <w:rPr>
          <w:w w:val="105"/>
        </w:rPr>
        <w:t>depression and participated</w:t>
      </w:r>
      <w:r>
        <w:rPr>
          <w:spacing w:val="37"/>
          <w:w w:val="105"/>
        </w:rPr>
        <w:t> </w:t>
      </w:r>
      <w:r>
        <w:rPr>
          <w:w w:val="105"/>
        </w:rPr>
        <w:t>less in leisure activities than those without FM. An association was found</w:t>
      </w:r>
      <w:r>
        <w:rPr>
          <w:w w:val="105"/>
        </w:rPr>
        <w:t> between</w:t>
      </w:r>
      <w:r>
        <w:rPr>
          <w:w w:val="105"/>
        </w:rPr>
        <w:t> leisure activities (specifically, overall and active leisure) and depressive symptoms. However, logistic regression analyses displayed</w:t>
      </w:r>
      <w:r>
        <w:rPr>
          <w:spacing w:val="10"/>
          <w:w w:val="105"/>
        </w:rPr>
        <w:t> </w:t>
      </w:r>
      <w:r>
        <w:rPr>
          <w:w w:val="105"/>
        </w:rPr>
        <w:t>no</w:t>
      </w:r>
      <w:r>
        <w:rPr>
          <w:spacing w:val="-15"/>
          <w:w w:val="105"/>
        </w:rPr>
        <w:t> </w:t>
      </w:r>
      <w:r>
        <w:rPr>
          <w:w w:val="105"/>
        </w:rPr>
        <w:t>significant</w:t>
      </w:r>
      <w:r>
        <w:rPr>
          <w:spacing w:val="-4"/>
          <w:w w:val="105"/>
        </w:rPr>
        <w:t> </w:t>
      </w:r>
      <w:r>
        <w:rPr>
          <w:w w:val="105"/>
        </w:rPr>
        <w:t>association</w:t>
      </w:r>
      <w:r>
        <w:rPr>
          <w:spacing w:val="14"/>
          <w:w w:val="105"/>
        </w:rPr>
        <w:t> </w:t>
      </w:r>
      <w:r>
        <w:rPr>
          <w:w w:val="105"/>
        </w:rPr>
        <w:t>between</w:t>
      </w:r>
      <w:r>
        <w:rPr>
          <w:w w:val="105"/>
        </w:rPr>
        <w:t> participation</w:t>
      </w:r>
      <w:r>
        <w:rPr>
          <w:spacing w:val="15"/>
          <w:w w:val="105"/>
        </w:rPr>
        <w:t> </w:t>
      </w:r>
      <w:r>
        <w:rPr>
          <w:w w:val="105"/>
        </w:rPr>
        <w:t>in leisure</w:t>
      </w:r>
      <w:r>
        <w:rPr>
          <w:spacing w:val="-12"/>
          <w:w w:val="105"/>
        </w:rPr>
        <w:t> </w:t>
      </w:r>
      <w:r>
        <w:rPr>
          <w:w w:val="105"/>
        </w:rPr>
        <w:t>activities in</w:t>
      </w:r>
      <w:r>
        <w:rPr>
          <w:w w:val="105"/>
        </w:rPr>
        <w:t> Wave</w:t>
      </w:r>
      <w:r>
        <w:rPr>
          <w:spacing w:val="-6"/>
          <w:w w:val="105"/>
        </w:rPr>
        <w:t> </w:t>
      </w:r>
      <w:r>
        <w:rPr>
          <w:w w:val="105"/>
        </w:rPr>
        <w:t>1 (overall, active, or passive) and later depressive symptoms in Wave 2. The present findings</w:t>
      </w:r>
      <w:r>
        <w:rPr>
          <w:spacing w:val="-2"/>
          <w:w w:val="105"/>
        </w:rPr>
        <w:t> </w:t>
      </w:r>
      <w:r>
        <w:rPr>
          <w:w w:val="105"/>
        </w:rPr>
        <w:t>encourage the integration of</w:t>
      </w:r>
      <w:r>
        <w:rPr>
          <w:spacing w:val="-2"/>
          <w:w w:val="105"/>
        </w:rPr>
        <w:t> </w:t>
      </w:r>
      <w:r>
        <w:rPr>
          <w:w w:val="105"/>
        </w:rPr>
        <w:t>active leisure activities in the daily routines of individuals with FM.</w:t>
      </w:r>
    </w:p>
    <w:p>
      <w:pPr>
        <w:pStyle w:val="BodyText"/>
      </w:pPr>
    </w:p>
    <w:p>
      <w:pPr>
        <w:pStyle w:val="BodyText"/>
      </w:pPr>
    </w:p>
    <w:p>
      <w:pPr>
        <w:pStyle w:val="BodyText"/>
        <w:spacing w:before="180"/>
      </w:pPr>
    </w:p>
    <w:p>
      <w:pPr>
        <w:spacing w:before="1"/>
        <w:ind w:left="435" w:right="100" w:firstLine="0"/>
        <w:jc w:val="center"/>
        <w:rPr>
          <w:sz w:val="15"/>
        </w:rPr>
      </w:pPr>
      <w:r>
        <w:rPr>
          <w:spacing w:val="-5"/>
          <w:w w:val="105"/>
          <w:sz w:val="15"/>
        </w:rPr>
        <w:t>II</w:t>
      </w:r>
    </w:p>
    <w:p>
      <w:pPr>
        <w:spacing w:after="0"/>
        <w:jc w:val="center"/>
        <w:rPr>
          <w:sz w:val="15"/>
        </w:rPr>
        <w:sectPr>
          <w:pgSz w:w="12550" w:h="15740"/>
          <w:pgMar w:top="1800" w:bottom="280" w:left="1780" w:right="1780"/>
        </w:sectPr>
      </w:pPr>
    </w:p>
    <w:p>
      <w:pPr>
        <w:pStyle w:val="Heading1"/>
        <w:tabs>
          <w:tab w:pos="8876" w:val="right" w:leader="dot"/>
        </w:tabs>
        <w:spacing w:before="519"/>
        <w:ind w:left="492"/>
      </w:pPr>
      <w:r>
        <w:rPr>
          <w:spacing w:val="-2"/>
        </w:rPr>
        <w:t>ABSTRACT.</w:t>
      </w:r>
      <w:r>
        <w:rPr/>
        <w:tab/>
      </w:r>
      <w:r>
        <w:rPr>
          <w:spacing w:val="-5"/>
        </w:rPr>
        <w:t>ii</w:t>
      </w:r>
    </w:p>
    <w:p>
      <w:pPr>
        <w:tabs>
          <w:tab w:pos="8872" w:val="right" w:leader="dot"/>
        </w:tabs>
        <w:spacing w:before="286"/>
        <w:ind w:left="484" w:right="0" w:firstLine="0"/>
        <w:jc w:val="left"/>
        <w:rPr>
          <w:rFonts w:ascii="Arial"/>
          <w:b/>
          <w:sz w:val="14"/>
        </w:rPr>
      </w:pPr>
      <w:r>
        <w:rPr>
          <w:rFonts w:ascii="Arial"/>
          <w:b/>
          <w:w w:val="110"/>
          <w:sz w:val="20"/>
        </w:rPr>
        <w:t>LIST</w:t>
      </w:r>
      <w:r>
        <w:rPr>
          <w:rFonts w:ascii="Arial"/>
          <w:b/>
          <w:spacing w:val="-6"/>
          <w:w w:val="110"/>
          <w:sz w:val="20"/>
        </w:rPr>
        <w:t> </w:t>
      </w:r>
      <w:r>
        <w:rPr>
          <w:rFonts w:ascii="Arial"/>
          <w:b/>
          <w:w w:val="110"/>
          <w:sz w:val="20"/>
        </w:rPr>
        <w:t>OF</w:t>
      </w:r>
      <w:r>
        <w:rPr>
          <w:rFonts w:ascii="Arial"/>
          <w:b/>
          <w:spacing w:val="-4"/>
          <w:w w:val="110"/>
          <w:sz w:val="20"/>
        </w:rPr>
        <w:t> </w:t>
      </w:r>
      <w:r>
        <w:rPr>
          <w:rFonts w:ascii="Arial"/>
          <w:b/>
          <w:spacing w:val="-2"/>
          <w:w w:val="110"/>
          <w:sz w:val="20"/>
        </w:rPr>
        <w:t>TABLES.</w:t>
      </w:r>
      <w:r>
        <w:rPr>
          <w:rFonts w:ascii="Arial"/>
          <w:b/>
          <w:sz w:val="20"/>
        </w:rPr>
        <w:tab/>
      </w:r>
      <w:r>
        <w:rPr>
          <w:rFonts w:ascii="Arial"/>
          <w:b/>
          <w:spacing w:val="-10"/>
          <w:w w:val="110"/>
          <w:sz w:val="14"/>
        </w:rPr>
        <w:t>V</w:t>
      </w:r>
    </w:p>
    <w:p>
      <w:pPr>
        <w:pStyle w:val="Heading1"/>
        <w:spacing w:before="267" w:after="5"/>
        <w:ind w:left="490"/>
      </w:pPr>
      <w:r>
        <w:rPr>
          <w:spacing w:val="-2"/>
        </w:rPr>
        <w:t>Chapter</w:t>
      </w:r>
    </w:p>
    <w:tbl>
      <w:tblPr>
        <w:tblW w:w="0" w:type="auto"/>
        <w:jc w:val="left"/>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1"/>
        <w:gridCol w:w="7650"/>
        <w:gridCol w:w="389"/>
      </w:tblGrid>
      <w:tr>
        <w:trPr>
          <w:trHeight w:val="389" w:hRule="atLeast"/>
        </w:trPr>
        <w:tc>
          <w:tcPr>
            <w:tcW w:w="351" w:type="dxa"/>
          </w:tcPr>
          <w:p>
            <w:pPr>
              <w:pStyle w:val="TableParagraph"/>
              <w:spacing w:line="255" w:lineRule="exact"/>
              <w:ind w:right="85"/>
              <w:jc w:val="center"/>
              <w:rPr>
                <w:sz w:val="23"/>
              </w:rPr>
            </w:pPr>
            <w:r>
              <w:rPr>
                <w:spacing w:val="-5"/>
                <w:sz w:val="23"/>
              </w:rPr>
              <w:t>l.</w:t>
            </w:r>
          </w:p>
        </w:tc>
        <w:tc>
          <w:tcPr>
            <w:tcW w:w="7650" w:type="dxa"/>
          </w:tcPr>
          <w:p>
            <w:pPr>
              <w:pStyle w:val="TableParagraph"/>
              <w:spacing w:line="255" w:lineRule="exact"/>
              <w:ind w:right="133"/>
              <w:jc w:val="right"/>
              <w:rPr>
                <w:sz w:val="23"/>
              </w:rPr>
            </w:pPr>
            <w:r>
              <w:rPr>
                <w:sz w:val="23"/>
              </w:rPr>
              <w:t>INTRODUCTION</w:t>
            </w:r>
            <w:r>
              <w:rPr>
                <w:spacing w:val="31"/>
                <w:sz w:val="23"/>
              </w:rPr>
              <w:t> </w:t>
            </w:r>
            <w:r>
              <w:rPr>
                <w:sz w:val="23"/>
              </w:rPr>
              <w:t>...............................................................................................</w:t>
            </w:r>
            <w:r>
              <w:rPr>
                <w:spacing w:val="-35"/>
                <w:sz w:val="23"/>
              </w:rPr>
              <w:t> </w:t>
            </w:r>
            <w:r>
              <w:rPr>
                <w:spacing w:val="-10"/>
                <w:sz w:val="23"/>
              </w:rPr>
              <w:t>.</w:t>
            </w:r>
          </w:p>
        </w:tc>
        <w:tc>
          <w:tcPr>
            <w:tcW w:w="389" w:type="dxa"/>
          </w:tcPr>
          <w:p>
            <w:pPr>
              <w:pStyle w:val="TableParagraph"/>
              <w:rPr>
                <w:sz w:val="22"/>
              </w:rPr>
            </w:pPr>
          </w:p>
        </w:tc>
      </w:tr>
      <w:tr>
        <w:trPr>
          <w:trHeight w:val="391" w:hRule="atLeast"/>
        </w:trPr>
        <w:tc>
          <w:tcPr>
            <w:tcW w:w="351" w:type="dxa"/>
          </w:tcPr>
          <w:p>
            <w:pPr>
              <w:pStyle w:val="TableParagraph"/>
              <w:rPr>
                <w:sz w:val="22"/>
              </w:rPr>
            </w:pPr>
          </w:p>
        </w:tc>
        <w:tc>
          <w:tcPr>
            <w:tcW w:w="7650" w:type="dxa"/>
          </w:tcPr>
          <w:p>
            <w:pPr>
              <w:pStyle w:val="TableParagraph"/>
              <w:spacing w:line="247" w:lineRule="exact" w:before="125"/>
              <w:ind w:right="108"/>
              <w:jc w:val="right"/>
              <w:rPr>
                <w:sz w:val="23"/>
              </w:rPr>
            </w:pPr>
            <w:r>
              <w:rPr>
                <w:sz w:val="23"/>
              </w:rPr>
              <w:t>Leisure</w:t>
            </w:r>
            <w:r>
              <w:rPr>
                <w:spacing w:val="26"/>
                <w:sz w:val="23"/>
              </w:rPr>
              <w:t> </w:t>
            </w:r>
            <w:r>
              <w:rPr>
                <w:sz w:val="23"/>
              </w:rPr>
              <w:t>and</w:t>
            </w:r>
            <w:r>
              <w:rPr>
                <w:spacing w:val="28"/>
                <w:sz w:val="23"/>
              </w:rPr>
              <w:t> </w:t>
            </w:r>
            <w:r>
              <w:rPr>
                <w:sz w:val="23"/>
              </w:rPr>
              <w:t>Chronic</w:t>
            </w:r>
            <w:r>
              <w:rPr>
                <w:spacing w:val="42"/>
                <w:sz w:val="23"/>
              </w:rPr>
              <w:t> </w:t>
            </w:r>
            <w:r>
              <w:rPr>
                <w:spacing w:val="-2"/>
                <w:sz w:val="23"/>
              </w:rPr>
              <w:t>Pain......................................................................................</w:t>
            </w:r>
          </w:p>
        </w:tc>
        <w:tc>
          <w:tcPr>
            <w:tcW w:w="389" w:type="dxa"/>
          </w:tcPr>
          <w:p>
            <w:pPr>
              <w:pStyle w:val="TableParagraph"/>
              <w:spacing w:line="247" w:lineRule="exact" w:before="125"/>
              <w:ind w:left="161" w:right="14"/>
              <w:jc w:val="center"/>
              <w:rPr>
                <w:sz w:val="23"/>
              </w:rPr>
            </w:pPr>
            <w:r>
              <w:rPr>
                <w:spacing w:val="-10"/>
                <w:sz w:val="23"/>
              </w:rPr>
              <w:t>2</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07"/>
              <w:jc w:val="right"/>
              <w:rPr>
                <w:sz w:val="23"/>
              </w:rPr>
            </w:pPr>
            <w:r>
              <w:rPr>
                <w:sz w:val="23"/>
              </w:rPr>
              <w:t>General</w:t>
            </w:r>
            <w:r>
              <w:rPr>
                <w:spacing w:val="27"/>
                <w:sz w:val="23"/>
              </w:rPr>
              <w:t> </w:t>
            </w:r>
            <w:r>
              <w:rPr>
                <w:sz w:val="23"/>
              </w:rPr>
              <w:t>Benefits</w:t>
            </w:r>
            <w:r>
              <w:rPr>
                <w:spacing w:val="11"/>
                <w:sz w:val="23"/>
              </w:rPr>
              <w:t> </w:t>
            </w:r>
            <w:r>
              <w:rPr>
                <w:sz w:val="23"/>
              </w:rPr>
              <w:t>of</w:t>
            </w:r>
            <w:r>
              <w:rPr>
                <w:spacing w:val="12"/>
                <w:sz w:val="23"/>
              </w:rPr>
              <w:t> </w:t>
            </w:r>
            <w:r>
              <w:rPr>
                <w:sz w:val="23"/>
              </w:rPr>
              <w:t>Leisure</w:t>
            </w:r>
            <w:r>
              <w:rPr>
                <w:spacing w:val="15"/>
                <w:sz w:val="23"/>
              </w:rPr>
              <w:t> </w:t>
            </w:r>
            <w:r>
              <w:rPr>
                <w:spacing w:val="-2"/>
                <w:sz w:val="23"/>
              </w:rPr>
              <w:t>Activities..................................................................</w:t>
            </w:r>
          </w:p>
        </w:tc>
        <w:tc>
          <w:tcPr>
            <w:tcW w:w="389" w:type="dxa"/>
          </w:tcPr>
          <w:p>
            <w:pPr>
              <w:pStyle w:val="TableParagraph"/>
              <w:spacing w:line="242" w:lineRule="exact"/>
              <w:ind w:left="161"/>
              <w:jc w:val="center"/>
              <w:rPr>
                <w:sz w:val="23"/>
              </w:rPr>
            </w:pPr>
            <w:r>
              <w:rPr>
                <w:spacing w:val="-10"/>
                <w:w w:val="110"/>
                <w:sz w:val="23"/>
              </w:rPr>
              <w:t>3</w:t>
            </w:r>
          </w:p>
        </w:tc>
      </w:tr>
      <w:tr>
        <w:trPr>
          <w:trHeight w:val="259" w:hRule="atLeast"/>
        </w:trPr>
        <w:tc>
          <w:tcPr>
            <w:tcW w:w="351" w:type="dxa"/>
          </w:tcPr>
          <w:p>
            <w:pPr>
              <w:pStyle w:val="TableParagraph"/>
              <w:rPr>
                <w:sz w:val="18"/>
              </w:rPr>
            </w:pPr>
          </w:p>
        </w:tc>
        <w:tc>
          <w:tcPr>
            <w:tcW w:w="7650" w:type="dxa"/>
          </w:tcPr>
          <w:p>
            <w:pPr>
              <w:pStyle w:val="TableParagraph"/>
              <w:spacing w:line="240" w:lineRule="exact"/>
              <w:ind w:right="125"/>
              <w:jc w:val="right"/>
              <w:rPr>
                <w:sz w:val="23"/>
              </w:rPr>
            </w:pPr>
            <w:r>
              <w:rPr>
                <w:sz w:val="23"/>
              </w:rPr>
              <w:t>Impact</w:t>
            </w:r>
            <w:r>
              <w:rPr>
                <w:spacing w:val="2"/>
                <w:sz w:val="23"/>
              </w:rPr>
              <w:t> </w:t>
            </w:r>
            <w:r>
              <w:rPr>
                <w:sz w:val="23"/>
              </w:rPr>
              <w:t>of</w:t>
            </w:r>
            <w:r>
              <w:rPr>
                <w:spacing w:val="-12"/>
                <w:sz w:val="23"/>
              </w:rPr>
              <w:t> </w:t>
            </w:r>
            <w:r>
              <w:rPr>
                <w:sz w:val="23"/>
              </w:rPr>
              <w:t>Chronic</w:t>
            </w:r>
            <w:r>
              <w:rPr>
                <w:spacing w:val="13"/>
                <w:sz w:val="23"/>
              </w:rPr>
              <w:t> </w:t>
            </w:r>
            <w:r>
              <w:rPr>
                <w:sz w:val="23"/>
              </w:rPr>
              <w:t>Pain</w:t>
            </w:r>
            <w:r>
              <w:rPr>
                <w:spacing w:val="-4"/>
                <w:sz w:val="23"/>
              </w:rPr>
              <w:t> </w:t>
            </w:r>
            <w:r>
              <w:rPr>
                <w:sz w:val="23"/>
              </w:rPr>
              <w:t>on</w:t>
            </w:r>
            <w:r>
              <w:rPr>
                <w:spacing w:val="7"/>
                <w:sz w:val="23"/>
              </w:rPr>
              <w:t> </w:t>
            </w:r>
            <w:r>
              <w:rPr>
                <w:sz w:val="23"/>
              </w:rPr>
              <w:t>Leisure</w:t>
            </w:r>
            <w:r>
              <w:rPr>
                <w:spacing w:val="-3"/>
                <w:sz w:val="23"/>
              </w:rPr>
              <w:t> </w:t>
            </w:r>
            <w:r>
              <w:rPr>
                <w:sz w:val="23"/>
              </w:rPr>
              <w:t>Activities</w:t>
            </w:r>
            <w:r>
              <w:rPr>
                <w:spacing w:val="-6"/>
                <w:sz w:val="23"/>
              </w:rPr>
              <w:t> </w:t>
            </w:r>
            <w:r>
              <w:rPr>
                <w:spacing w:val="-2"/>
                <w:sz w:val="23"/>
              </w:rPr>
              <w:t>......................................................</w:t>
            </w:r>
          </w:p>
        </w:tc>
        <w:tc>
          <w:tcPr>
            <w:tcW w:w="389" w:type="dxa"/>
          </w:tcPr>
          <w:p>
            <w:pPr>
              <w:pStyle w:val="TableParagraph"/>
              <w:spacing w:line="240" w:lineRule="exact"/>
              <w:ind w:left="161" w:right="7"/>
              <w:jc w:val="center"/>
              <w:rPr>
                <w:sz w:val="23"/>
              </w:rPr>
            </w:pPr>
            <w:r>
              <w:rPr>
                <w:spacing w:val="-10"/>
                <w:w w:val="105"/>
                <w:sz w:val="23"/>
              </w:rPr>
              <w:t>5</w:t>
            </w:r>
          </w:p>
        </w:tc>
      </w:tr>
      <w:tr>
        <w:trPr>
          <w:trHeight w:val="648" w:hRule="atLeast"/>
        </w:trPr>
        <w:tc>
          <w:tcPr>
            <w:tcW w:w="351" w:type="dxa"/>
          </w:tcPr>
          <w:p>
            <w:pPr>
              <w:pStyle w:val="TableParagraph"/>
              <w:rPr>
                <w:sz w:val="22"/>
              </w:rPr>
            </w:pPr>
          </w:p>
        </w:tc>
        <w:tc>
          <w:tcPr>
            <w:tcW w:w="7650" w:type="dxa"/>
          </w:tcPr>
          <w:p>
            <w:pPr>
              <w:pStyle w:val="TableParagraph"/>
              <w:spacing w:line="235" w:lineRule="auto"/>
              <w:ind w:left="118" w:hanging="5"/>
              <w:rPr>
                <w:sz w:val="23"/>
              </w:rPr>
            </w:pPr>
            <w:r>
              <w:rPr>
                <w:sz w:val="23"/>
              </w:rPr>
              <w:t>Chronic Pain, Leisure Activities, and Depression ................................................ Current</w:t>
            </w:r>
            <w:r>
              <w:rPr>
                <w:spacing w:val="41"/>
                <w:sz w:val="23"/>
              </w:rPr>
              <w:t>  </w:t>
            </w:r>
            <w:r>
              <w:rPr>
                <w:spacing w:val="-2"/>
                <w:sz w:val="23"/>
              </w:rPr>
              <w:t>Study........................................................................................................</w:t>
            </w:r>
          </w:p>
        </w:tc>
        <w:tc>
          <w:tcPr>
            <w:tcW w:w="389" w:type="dxa"/>
          </w:tcPr>
          <w:p>
            <w:pPr>
              <w:pStyle w:val="TableParagraph"/>
              <w:spacing w:line="251" w:lineRule="exact"/>
              <w:ind w:left="213"/>
              <w:rPr>
                <w:b/>
                <w:sz w:val="22"/>
              </w:rPr>
            </w:pPr>
            <w:r>
              <w:rPr>
                <w:b/>
                <w:spacing w:val="-10"/>
                <w:w w:val="105"/>
                <w:sz w:val="22"/>
              </w:rPr>
              <w:t>8</w:t>
            </w:r>
          </w:p>
          <w:p>
            <w:pPr>
              <w:pStyle w:val="TableParagraph"/>
              <w:spacing w:line="263" w:lineRule="exact"/>
              <w:ind w:left="118"/>
              <w:rPr>
                <w:sz w:val="23"/>
              </w:rPr>
            </w:pPr>
            <w:r>
              <w:rPr>
                <w:w w:val="105"/>
                <w:sz w:val="23"/>
              </w:rPr>
              <w:t>l</w:t>
            </w:r>
            <w:r>
              <w:rPr>
                <w:spacing w:val="-33"/>
                <w:w w:val="105"/>
                <w:sz w:val="23"/>
              </w:rPr>
              <w:t> </w:t>
            </w:r>
            <w:r>
              <w:rPr>
                <w:spacing w:val="-12"/>
                <w:w w:val="105"/>
                <w:sz w:val="23"/>
              </w:rPr>
              <w:t>0</w:t>
            </w:r>
          </w:p>
        </w:tc>
      </w:tr>
      <w:tr>
        <w:trPr>
          <w:trHeight w:val="521" w:hRule="atLeast"/>
        </w:trPr>
        <w:tc>
          <w:tcPr>
            <w:tcW w:w="351" w:type="dxa"/>
          </w:tcPr>
          <w:p>
            <w:pPr>
              <w:pStyle w:val="TableParagraph"/>
              <w:spacing w:before="125"/>
              <w:ind w:left="14" w:right="85"/>
              <w:jc w:val="center"/>
              <w:rPr>
                <w:sz w:val="23"/>
              </w:rPr>
            </w:pPr>
            <w:r>
              <w:rPr>
                <w:spacing w:val="-5"/>
                <w:w w:val="105"/>
                <w:sz w:val="23"/>
              </w:rPr>
              <w:t>2.</w:t>
            </w:r>
          </w:p>
        </w:tc>
        <w:tc>
          <w:tcPr>
            <w:tcW w:w="7650" w:type="dxa"/>
          </w:tcPr>
          <w:p>
            <w:pPr>
              <w:pStyle w:val="TableParagraph"/>
              <w:spacing w:before="125"/>
              <w:ind w:right="116"/>
              <w:jc w:val="right"/>
              <w:rPr>
                <w:sz w:val="23"/>
              </w:rPr>
            </w:pPr>
            <w:r>
              <w:rPr>
                <w:spacing w:val="-2"/>
                <w:sz w:val="23"/>
              </w:rPr>
              <w:t>METHOD.............................................................................................................</w:t>
            </w:r>
          </w:p>
        </w:tc>
        <w:tc>
          <w:tcPr>
            <w:tcW w:w="389" w:type="dxa"/>
          </w:tcPr>
          <w:p>
            <w:pPr>
              <w:pStyle w:val="TableParagraph"/>
              <w:spacing w:before="125"/>
              <w:ind w:left="58" w:right="10"/>
              <w:jc w:val="center"/>
              <w:rPr>
                <w:sz w:val="23"/>
              </w:rPr>
            </w:pPr>
            <w:r>
              <w:rPr>
                <w:spacing w:val="-5"/>
                <w:sz w:val="23"/>
              </w:rPr>
              <w:t>12</w:t>
            </w:r>
          </w:p>
        </w:tc>
      </w:tr>
      <w:tr>
        <w:trPr>
          <w:trHeight w:val="389" w:hRule="atLeast"/>
        </w:trPr>
        <w:tc>
          <w:tcPr>
            <w:tcW w:w="351" w:type="dxa"/>
          </w:tcPr>
          <w:p>
            <w:pPr>
              <w:pStyle w:val="TableParagraph"/>
              <w:rPr>
                <w:sz w:val="22"/>
              </w:rPr>
            </w:pPr>
          </w:p>
        </w:tc>
        <w:tc>
          <w:tcPr>
            <w:tcW w:w="7650" w:type="dxa"/>
          </w:tcPr>
          <w:p>
            <w:pPr>
              <w:pStyle w:val="TableParagraph"/>
              <w:spacing w:line="247" w:lineRule="exact" w:before="122"/>
              <w:ind w:right="144"/>
              <w:jc w:val="right"/>
              <w:rPr>
                <w:sz w:val="23"/>
              </w:rPr>
            </w:pPr>
            <w:r>
              <w:rPr>
                <w:spacing w:val="-2"/>
                <w:sz w:val="23"/>
              </w:rPr>
              <w:t>Participants............................................................................................................</w:t>
            </w:r>
          </w:p>
        </w:tc>
        <w:tc>
          <w:tcPr>
            <w:tcW w:w="389" w:type="dxa"/>
          </w:tcPr>
          <w:p>
            <w:pPr>
              <w:pStyle w:val="TableParagraph"/>
              <w:spacing w:line="247" w:lineRule="exact" w:before="122"/>
              <w:ind w:left="58" w:right="10"/>
              <w:jc w:val="center"/>
              <w:rPr>
                <w:sz w:val="23"/>
              </w:rPr>
            </w:pPr>
            <w:r>
              <w:rPr>
                <w:spacing w:val="-5"/>
                <w:sz w:val="23"/>
              </w:rPr>
              <w:t>12</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27"/>
              <w:jc w:val="right"/>
              <w:rPr>
                <w:sz w:val="23"/>
              </w:rPr>
            </w:pPr>
            <w:r>
              <w:rPr>
                <w:sz w:val="23"/>
              </w:rPr>
              <w:t>Measures</w:t>
            </w:r>
            <w:r>
              <w:rPr>
                <w:spacing w:val="-4"/>
                <w:sz w:val="23"/>
              </w:rPr>
              <w:t> </w:t>
            </w:r>
            <w:r>
              <w:rPr>
                <w:sz w:val="23"/>
              </w:rPr>
              <w:t>(Wave</w:t>
            </w:r>
            <w:r>
              <w:rPr>
                <w:spacing w:val="25"/>
                <w:sz w:val="23"/>
              </w:rPr>
              <w:t> </w:t>
            </w:r>
            <w:r>
              <w:rPr>
                <w:sz w:val="23"/>
              </w:rPr>
              <w:t>l</w:t>
            </w:r>
            <w:r>
              <w:rPr>
                <w:spacing w:val="20"/>
                <w:sz w:val="23"/>
              </w:rPr>
              <w:t> </w:t>
            </w:r>
            <w:r>
              <w:rPr>
                <w:sz w:val="23"/>
              </w:rPr>
              <w:t>and</w:t>
            </w:r>
            <w:r>
              <w:rPr>
                <w:spacing w:val="11"/>
                <w:sz w:val="23"/>
              </w:rPr>
              <w:t> </w:t>
            </w:r>
            <w:r>
              <w:rPr>
                <w:sz w:val="23"/>
              </w:rPr>
              <w:t>Wave</w:t>
            </w:r>
            <w:r>
              <w:rPr>
                <w:spacing w:val="6"/>
                <w:sz w:val="23"/>
              </w:rPr>
              <w:t> </w:t>
            </w:r>
            <w:r>
              <w:rPr>
                <w:sz w:val="23"/>
              </w:rPr>
              <w:t>2).</w:t>
            </w:r>
            <w:r>
              <w:rPr>
                <w:spacing w:val="-21"/>
                <w:sz w:val="23"/>
              </w:rPr>
              <w:t> </w:t>
            </w:r>
            <w:r>
              <w:rPr>
                <w:spacing w:val="-2"/>
                <w:sz w:val="23"/>
              </w:rPr>
              <w:t>..........................................................................</w:t>
            </w:r>
          </w:p>
        </w:tc>
        <w:tc>
          <w:tcPr>
            <w:tcW w:w="389" w:type="dxa"/>
          </w:tcPr>
          <w:p>
            <w:pPr>
              <w:pStyle w:val="TableParagraph"/>
              <w:spacing w:line="242" w:lineRule="exact"/>
              <w:ind w:left="58" w:right="8"/>
              <w:jc w:val="center"/>
              <w:rPr>
                <w:sz w:val="23"/>
              </w:rPr>
            </w:pPr>
            <w:r>
              <w:rPr>
                <w:spacing w:val="-5"/>
                <w:sz w:val="23"/>
              </w:rPr>
              <w:t>14</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07"/>
              <w:jc w:val="right"/>
              <w:rPr>
                <w:sz w:val="23"/>
              </w:rPr>
            </w:pPr>
            <w:r>
              <w:rPr>
                <w:spacing w:val="-2"/>
                <w:sz w:val="23"/>
              </w:rPr>
              <w:t>Demographics................................................................................................</w:t>
            </w:r>
          </w:p>
        </w:tc>
        <w:tc>
          <w:tcPr>
            <w:tcW w:w="389" w:type="dxa"/>
          </w:tcPr>
          <w:p>
            <w:pPr>
              <w:pStyle w:val="TableParagraph"/>
              <w:spacing w:line="242" w:lineRule="exact"/>
              <w:ind w:left="58" w:right="8"/>
              <w:jc w:val="center"/>
              <w:rPr>
                <w:sz w:val="23"/>
              </w:rPr>
            </w:pPr>
            <w:r>
              <w:rPr>
                <w:spacing w:val="-5"/>
                <w:sz w:val="23"/>
              </w:rPr>
              <w:t>14</w:t>
            </w:r>
          </w:p>
        </w:tc>
      </w:tr>
      <w:tr>
        <w:trPr>
          <w:trHeight w:val="259" w:hRule="atLeast"/>
        </w:trPr>
        <w:tc>
          <w:tcPr>
            <w:tcW w:w="351" w:type="dxa"/>
          </w:tcPr>
          <w:p>
            <w:pPr>
              <w:pStyle w:val="TableParagraph"/>
              <w:rPr>
                <w:sz w:val="18"/>
              </w:rPr>
            </w:pPr>
          </w:p>
        </w:tc>
        <w:tc>
          <w:tcPr>
            <w:tcW w:w="7650" w:type="dxa"/>
          </w:tcPr>
          <w:p>
            <w:pPr>
              <w:pStyle w:val="TableParagraph"/>
              <w:spacing w:line="240" w:lineRule="exact"/>
              <w:ind w:right="110"/>
              <w:jc w:val="right"/>
              <w:rPr>
                <w:sz w:val="23"/>
              </w:rPr>
            </w:pPr>
            <w:r>
              <w:rPr>
                <w:sz w:val="23"/>
              </w:rPr>
              <w:t>Leisure</w:t>
            </w:r>
            <w:r>
              <w:rPr>
                <w:spacing w:val="33"/>
                <w:sz w:val="23"/>
              </w:rPr>
              <w:t>  </w:t>
            </w:r>
            <w:r>
              <w:rPr>
                <w:spacing w:val="-2"/>
                <w:sz w:val="23"/>
              </w:rPr>
              <w:t>Activities...........................................................................................</w:t>
            </w:r>
          </w:p>
        </w:tc>
        <w:tc>
          <w:tcPr>
            <w:tcW w:w="389" w:type="dxa"/>
          </w:tcPr>
          <w:p>
            <w:pPr>
              <w:pStyle w:val="TableParagraph"/>
              <w:spacing w:line="240" w:lineRule="exact"/>
              <w:ind w:left="58" w:right="10"/>
              <w:jc w:val="center"/>
              <w:rPr>
                <w:sz w:val="23"/>
              </w:rPr>
            </w:pPr>
            <w:r>
              <w:rPr>
                <w:spacing w:val="-5"/>
                <w:sz w:val="23"/>
              </w:rPr>
              <w:t>15</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95"/>
              <w:jc w:val="right"/>
              <w:rPr>
                <w:sz w:val="23"/>
              </w:rPr>
            </w:pPr>
            <w:r>
              <w:rPr>
                <w:spacing w:val="-2"/>
                <w:sz w:val="23"/>
              </w:rPr>
              <w:t>Depressive</w:t>
            </w:r>
            <w:r>
              <w:rPr>
                <w:spacing w:val="30"/>
                <w:sz w:val="23"/>
              </w:rPr>
              <w:t>  </w:t>
            </w:r>
            <w:r>
              <w:rPr>
                <w:spacing w:val="-2"/>
                <w:sz w:val="23"/>
              </w:rPr>
              <w:t>Symptoms....................................................................................</w:t>
            </w:r>
          </w:p>
        </w:tc>
        <w:tc>
          <w:tcPr>
            <w:tcW w:w="389" w:type="dxa"/>
          </w:tcPr>
          <w:p>
            <w:pPr>
              <w:pStyle w:val="TableParagraph"/>
              <w:spacing w:line="242" w:lineRule="exact"/>
              <w:ind w:left="58" w:right="5"/>
              <w:jc w:val="center"/>
              <w:rPr>
                <w:sz w:val="23"/>
              </w:rPr>
            </w:pPr>
            <w:r>
              <w:rPr>
                <w:spacing w:val="-5"/>
                <w:sz w:val="23"/>
              </w:rPr>
              <w:t>16</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01"/>
              <w:jc w:val="right"/>
              <w:rPr>
                <w:sz w:val="23"/>
              </w:rPr>
            </w:pPr>
            <w:r>
              <w:rPr>
                <w:spacing w:val="-2"/>
                <w:sz w:val="23"/>
              </w:rPr>
              <w:t>Procedure..............................................................................................................</w:t>
            </w:r>
          </w:p>
        </w:tc>
        <w:tc>
          <w:tcPr>
            <w:tcW w:w="389" w:type="dxa"/>
          </w:tcPr>
          <w:p>
            <w:pPr>
              <w:pStyle w:val="TableParagraph"/>
              <w:spacing w:line="242" w:lineRule="exact"/>
              <w:ind w:left="58"/>
              <w:jc w:val="center"/>
              <w:rPr>
                <w:sz w:val="23"/>
              </w:rPr>
            </w:pPr>
            <w:r>
              <w:rPr>
                <w:spacing w:val="-5"/>
                <w:sz w:val="23"/>
              </w:rPr>
              <w:t>17</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03"/>
              <w:jc w:val="right"/>
              <w:rPr>
                <w:sz w:val="23"/>
              </w:rPr>
            </w:pPr>
            <w:r>
              <w:rPr>
                <w:sz w:val="23"/>
              </w:rPr>
              <w:t>Wave</w:t>
            </w:r>
            <w:r>
              <w:rPr>
                <w:spacing w:val="62"/>
                <w:w w:val="150"/>
                <w:sz w:val="23"/>
              </w:rPr>
              <w:t> </w:t>
            </w:r>
            <w:r>
              <w:rPr>
                <w:sz w:val="23"/>
              </w:rPr>
              <w:t>l</w:t>
            </w:r>
            <w:r>
              <w:rPr>
                <w:spacing w:val="55"/>
                <w:w w:val="150"/>
                <w:sz w:val="23"/>
              </w:rPr>
              <w:t> </w:t>
            </w:r>
            <w:r>
              <w:rPr>
                <w:spacing w:val="-2"/>
                <w:sz w:val="23"/>
              </w:rPr>
              <w:t>Procedure..........................................................................................</w:t>
            </w:r>
          </w:p>
        </w:tc>
        <w:tc>
          <w:tcPr>
            <w:tcW w:w="389" w:type="dxa"/>
          </w:tcPr>
          <w:p>
            <w:pPr>
              <w:pStyle w:val="TableParagraph"/>
              <w:spacing w:line="242" w:lineRule="exact"/>
              <w:ind w:left="58"/>
              <w:jc w:val="center"/>
              <w:rPr>
                <w:sz w:val="23"/>
              </w:rPr>
            </w:pPr>
            <w:r>
              <w:rPr>
                <w:spacing w:val="-5"/>
                <w:sz w:val="23"/>
              </w:rPr>
              <w:t>17</w:t>
            </w:r>
          </w:p>
        </w:tc>
      </w:tr>
      <w:tr>
        <w:trPr>
          <w:trHeight w:val="391" w:hRule="atLeast"/>
        </w:trPr>
        <w:tc>
          <w:tcPr>
            <w:tcW w:w="351" w:type="dxa"/>
          </w:tcPr>
          <w:p>
            <w:pPr>
              <w:pStyle w:val="TableParagraph"/>
              <w:rPr>
                <w:sz w:val="22"/>
              </w:rPr>
            </w:pPr>
          </w:p>
        </w:tc>
        <w:tc>
          <w:tcPr>
            <w:tcW w:w="7650" w:type="dxa"/>
          </w:tcPr>
          <w:p>
            <w:pPr>
              <w:pStyle w:val="TableParagraph"/>
              <w:spacing w:line="260" w:lineRule="exact"/>
              <w:ind w:right="103"/>
              <w:jc w:val="right"/>
              <w:rPr>
                <w:sz w:val="23"/>
              </w:rPr>
            </w:pPr>
            <w:r>
              <w:rPr>
                <w:sz w:val="23"/>
              </w:rPr>
              <w:t>Wave</w:t>
            </w:r>
            <w:r>
              <w:rPr>
                <w:spacing w:val="64"/>
                <w:sz w:val="23"/>
              </w:rPr>
              <w:t> </w:t>
            </w:r>
            <w:r>
              <w:rPr>
                <w:sz w:val="23"/>
              </w:rPr>
              <w:t>2</w:t>
            </w:r>
            <w:r>
              <w:rPr>
                <w:spacing w:val="59"/>
                <w:sz w:val="23"/>
              </w:rPr>
              <w:t> </w:t>
            </w:r>
            <w:r>
              <w:rPr>
                <w:spacing w:val="-2"/>
                <w:sz w:val="23"/>
              </w:rPr>
              <w:t>Procedure..........................................................................................</w:t>
            </w:r>
          </w:p>
        </w:tc>
        <w:tc>
          <w:tcPr>
            <w:tcW w:w="389" w:type="dxa"/>
          </w:tcPr>
          <w:p>
            <w:pPr>
              <w:pStyle w:val="TableParagraph"/>
              <w:spacing w:line="260" w:lineRule="exact"/>
              <w:ind w:left="58" w:right="5"/>
              <w:jc w:val="center"/>
              <w:rPr>
                <w:sz w:val="23"/>
              </w:rPr>
            </w:pPr>
            <w:r>
              <w:rPr>
                <w:spacing w:val="-5"/>
                <w:sz w:val="23"/>
              </w:rPr>
              <w:t>17</w:t>
            </w:r>
          </w:p>
        </w:tc>
      </w:tr>
      <w:tr>
        <w:trPr>
          <w:trHeight w:val="519" w:hRule="atLeast"/>
        </w:trPr>
        <w:tc>
          <w:tcPr>
            <w:tcW w:w="351" w:type="dxa"/>
          </w:tcPr>
          <w:p>
            <w:pPr>
              <w:pStyle w:val="TableParagraph"/>
              <w:spacing w:before="122"/>
              <w:ind w:left="28" w:right="85"/>
              <w:jc w:val="center"/>
              <w:rPr>
                <w:sz w:val="23"/>
              </w:rPr>
            </w:pPr>
            <w:r>
              <w:rPr>
                <w:spacing w:val="-5"/>
                <w:sz w:val="23"/>
              </w:rPr>
              <w:t>3.</w:t>
            </w:r>
          </w:p>
        </w:tc>
        <w:tc>
          <w:tcPr>
            <w:tcW w:w="7650" w:type="dxa"/>
          </w:tcPr>
          <w:p>
            <w:pPr>
              <w:pStyle w:val="TableParagraph"/>
              <w:spacing w:before="122"/>
              <w:ind w:right="139"/>
              <w:jc w:val="right"/>
              <w:rPr>
                <w:sz w:val="23"/>
              </w:rPr>
            </w:pPr>
            <w:r>
              <w:rPr>
                <w:spacing w:val="-4"/>
                <w:sz w:val="23"/>
              </w:rPr>
              <w:t>RESULTS</w:t>
            </w:r>
            <w:r>
              <w:rPr>
                <w:spacing w:val="64"/>
                <w:w w:val="150"/>
                <w:sz w:val="23"/>
              </w:rPr>
              <w:t> </w:t>
            </w:r>
            <w:r>
              <w:rPr>
                <w:spacing w:val="-2"/>
                <w:sz w:val="23"/>
              </w:rPr>
              <w:t>.............................................................................................................</w:t>
            </w:r>
          </w:p>
        </w:tc>
        <w:tc>
          <w:tcPr>
            <w:tcW w:w="389" w:type="dxa"/>
          </w:tcPr>
          <w:p>
            <w:pPr>
              <w:pStyle w:val="TableParagraph"/>
              <w:spacing w:before="122"/>
              <w:ind w:left="58" w:right="5"/>
              <w:jc w:val="center"/>
              <w:rPr>
                <w:sz w:val="23"/>
              </w:rPr>
            </w:pPr>
            <w:r>
              <w:rPr>
                <w:spacing w:val="-5"/>
                <w:sz w:val="23"/>
              </w:rPr>
              <w:t>19</w:t>
            </w:r>
          </w:p>
        </w:tc>
      </w:tr>
      <w:tr>
        <w:trPr>
          <w:trHeight w:val="391" w:hRule="atLeast"/>
        </w:trPr>
        <w:tc>
          <w:tcPr>
            <w:tcW w:w="351" w:type="dxa"/>
          </w:tcPr>
          <w:p>
            <w:pPr>
              <w:pStyle w:val="TableParagraph"/>
              <w:rPr>
                <w:sz w:val="22"/>
              </w:rPr>
            </w:pPr>
          </w:p>
        </w:tc>
        <w:tc>
          <w:tcPr>
            <w:tcW w:w="7650" w:type="dxa"/>
          </w:tcPr>
          <w:p>
            <w:pPr>
              <w:pStyle w:val="TableParagraph"/>
              <w:spacing w:line="249" w:lineRule="exact" w:before="122"/>
              <w:ind w:right="152"/>
              <w:jc w:val="right"/>
              <w:rPr>
                <w:sz w:val="23"/>
              </w:rPr>
            </w:pPr>
            <w:r>
              <w:rPr>
                <w:sz w:val="23"/>
              </w:rPr>
              <w:t>Sample</w:t>
            </w:r>
            <w:r>
              <w:rPr>
                <w:spacing w:val="55"/>
                <w:w w:val="150"/>
                <w:sz w:val="23"/>
              </w:rPr>
              <w:t> </w:t>
            </w:r>
            <w:r>
              <w:rPr>
                <w:spacing w:val="-2"/>
                <w:sz w:val="23"/>
              </w:rPr>
              <w:t>Characteristics..........................................................................................</w:t>
            </w:r>
          </w:p>
        </w:tc>
        <w:tc>
          <w:tcPr>
            <w:tcW w:w="389" w:type="dxa"/>
          </w:tcPr>
          <w:p>
            <w:pPr>
              <w:pStyle w:val="TableParagraph"/>
              <w:spacing w:line="249" w:lineRule="exact" w:before="122"/>
              <w:ind w:left="58" w:right="5"/>
              <w:jc w:val="center"/>
              <w:rPr>
                <w:sz w:val="23"/>
              </w:rPr>
            </w:pPr>
            <w:r>
              <w:rPr>
                <w:spacing w:val="-5"/>
                <w:sz w:val="23"/>
              </w:rPr>
              <w:t>19</w:t>
            </w:r>
          </w:p>
        </w:tc>
      </w:tr>
      <w:tr>
        <w:trPr>
          <w:trHeight w:val="264" w:hRule="atLeast"/>
        </w:trPr>
        <w:tc>
          <w:tcPr>
            <w:tcW w:w="351" w:type="dxa"/>
          </w:tcPr>
          <w:p>
            <w:pPr>
              <w:pStyle w:val="TableParagraph"/>
              <w:rPr>
                <w:sz w:val="18"/>
              </w:rPr>
            </w:pPr>
          </w:p>
        </w:tc>
        <w:tc>
          <w:tcPr>
            <w:tcW w:w="7650" w:type="dxa"/>
          </w:tcPr>
          <w:p>
            <w:pPr>
              <w:pStyle w:val="TableParagraph"/>
              <w:spacing w:line="244" w:lineRule="exact"/>
              <w:ind w:right="151"/>
              <w:jc w:val="right"/>
              <w:rPr>
                <w:sz w:val="23"/>
              </w:rPr>
            </w:pPr>
            <w:r>
              <w:rPr>
                <w:spacing w:val="-2"/>
                <w:sz w:val="23"/>
              </w:rPr>
              <w:t>Correlations...........................................................................................................</w:t>
            </w:r>
          </w:p>
        </w:tc>
        <w:tc>
          <w:tcPr>
            <w:tcW w:w="389" w:type="dxa"/>
          </w:tcPr>
          <w:p>
            <w:pPr>
              <w:pStyle w:val="TableParagraph"/>
              <w:spacing w:line="244" w:lineRule="exact"/>
              <w:ind w:left="58" w:right="19"/>
              <w:jc w:val="center"/>
              <w:rPr>
                <w:sz w:val="23"/>
              </w:rPr>
            </w:pPr>
            <w:r>
              <w:rPr>
                <w:spacing w:val="-5"/>
                <w:sz w:val="23"/>
              </w:rPr>
              <w:t>21</w:t>
            </w:r>
          </w:p>
        </w:tc>
      </w:tr>
      <w:tr>
        <w:trPr>
          <w:trHeight w:val="261" w:hRule="atLeast"/>
        </w:trPr>
        <w:tc>
          <w:tcPr>
            <w:tcW w:w="351" w:type="dxa"/>
          </w:tcPr>
          <w:p>
            <w:pPr>
              <w:pStyle w:val="TableParagraph"/>
              <w:rPr>
                <w:sz w:val="18"/>
              </w:rPr>
            </w:pPr>
          </w:p>
        </w:tc>
        <w:tc>
          <w:tcPr>
            <w:tcW w:w="7650" w:type="dxa"/>
          </w:tcPr>
          <w:p>
            <w:pPr>
              <w:pStyle w:val="TableParagraph"/>
              <w:spacing w:line="242" w:lineRule="exact"/>
              <w:ind w:right="123"/>
              <w:jc w:val="right"/>
              <w:rPr>
                <w:sz w:val="23"/>
              </w:rPr>
            </w:pPr>
            <w:r>
              <w:rPr>
                <w:sz w:val="23"/>
              </w:rPr>
              <w:t>Testing</w:t>
            </w:r>
            <w:r>
              <w:rPr>
                <w:spacing w:val="20"/>
                <w:sz w:val="23"/>
              </w:rPr>
              <w:t> </w:t>
            </w:r>
            <w:r>
              <w:rPr>
                <w:sz w:val="23"/>
              </w:rPr>
              <w:t>Hypothesis</w:t>
            </w:r>
            <w:r>
              <w:rPr>
                <w:spacing w:val="32"/>
                <w:sz w:val="23"/>
              </w:rPr>
              <w:t> </w:t>
            </w:r>
            <w:r>
              <w:rPr>
                <w:sz w:val="23"/>
              </w:rPr>
              <w:t>1</w:t>
            </w:r>
            <w:r>
              <w:rPr>
                <w:spacing w:val="19"/>
                <w:sz w:val="23"/>
              </w:rPr>
              <w:t> </w:t>
            </w:r>
            <w:r>
              <w:rPr>
                <w:spacing w:val="-2"/>
                <w:sz w:val="23"/>
              </w:rPr>
              <w:t>............................................................................................</w:t>
            </w:r>
          </w:p>
        </w:tc>
        <w:tc>
          <w:tcPr>
            <w:tcW w:w="389" w:type="dxa"/>
          </w:tcPr>
          <w:p>
            <w:pPr>
              <w:pStyle w:val="TableParagraph"/>
              <w:spacing w:line="242" w:lineRule="exact"/>
              <w:ind w:left="58" w:right="10"/>
              <w:jc w:val="center"/>
              <w:rPr>
                <w:sz w:val="23"/>
              </w:rPr>
            </w:pPr>
            <w:r>
              <w:rPr>
                <w:spacing w:val="-5"/>
                <w:sz w:val="23"/>
              </w:rPr>
              <w:t>24</w:t>
            </w:r>
          </w:p>
        </w:tc>
      </w:tr>
      <w:tr>
        <w:trPr>
          <w:trHeight w:val="259" w:hRule="atLeast"/>
        </w:trPr>
        <w:tc>
          <w:tcPr>
            <w:tcW w:w="351" w:type="dxa"/>
          </w:tcPr>
          <w:p>
            <w:pPr>
              <w:pStyle w:val="TableParagraph"/>
              <w:rPr>
                <w:sz w:val="18"/>
              </w:rPr>
            </w:pPr>
          </w:p>
        </w:tc>
        <w:tc>
          <w:tcPr>
            <w:tcW w:w="7650" w:type="dxa"/>
          </w:tcPr>
          <w:p>
            <w:pPr>
              <w:pStyle w:val="TableParagraph"/>
              <w:spacing w:line="240" w:lineRule="exact"/>
              <w:ind w:right="145"/>
              <w:jc w:val="right"/>
              <w:rPr>
                <w:sz w:val="23"/>
              </w:rPr>
            </w:pPr>
            <w:r>
              <w:rPr>
                <w:sz w:val="23"/>
              </w:rPr>
              <w:t>Testing</w:t>
            </w:r>
            <w:r>
              <w:rPr>
                <w:spacing w:val="4"/>
                <w:sz w:val="23"/>
              </w:rPr>
              <w:t> </w:t>
            </w:r>
            <w:r>
              <w:rPr>
                <w:sz w:val="23"/>
              </w:rPr>
              <w:t>Hypothesis</w:t>
            </w:r>
            <w:r>
              <w:rPr>
                <w:spacing w:val="11"/>
                <w:sz w:val="23"/>
              </w:rPr>
              <w:t> </w:t>
            </w:r>
            <w:r>
              <w:rPr>
                <w:sz w:val="23"/>
              </w:rPr>
              <w:t>2</w:t>
            </w:r>
            <w:r>
              <w:rPr>
                <w:spacing w:val="-6"/>
                <w:sz w:val="23"/>
              </w:rPr>
              <w:t> </w:t>
            </w:r>
            <w:r>
              <w:rPr>
                <w:sz w:val="23"/>
              </w:rPr>
              <w:t>(Linear</w:t>
            </w:r>
            <w:r>
              <w:rPr>
                <w:spacing w:val="7"/>
                <w:sz w:val="23"/>
              </w:rPr>
              <w:t> </w:t>
            </w:r>
            <w:r>
              <w:rPr>
                <w:spacing w:val="-2"/>
                <w:sz w:val="23"/>
              </w:rPr>
              <w:t>Regression)............................................................</w:t>
            </w:r>
          </w:p>
        </w:tc>
        <w:tc>
          <w:tcPr>
            <w:tcW w:w="389" w:type="dxa"/>
          </w:tcPr>
          <w:p>
            <w:pPr>
              <w:pStyle w:val="TableParagraph"/>
              <w:spacing w:line="240" w:lineRule="exact"/>
              <w:ind w:left="58" w:right="17"/>
              <w:jc w:val="center"/>
              <w:rPr>
                <w:sz w:val="23"/>
              </w:rPr>
            </w:pPr>
            <w:r>
              <w:rPr>
                <w:spacing w:val="-5"/>
                <w:sz w:val="23"/>
              </w:rPr>
              <w:t>25</w:t>
            </w:r>
          </w:p>
        </w:tc>
      </w:tr>
      <w:tr>
        <w:trPr>
          <w:trHeight w:val="391" w:hRule="atLeast"/>
        </w:trPr>
        <w:tc>
          <w:tcPr>
            <w:tcW w:w="351" w:type="dxa"/>
          </w:tcPr>
          <w:p>
            <w:pPr>
              <w:pStyle w:val="TableParagraph"/>
              <w:rPr>
                <w:sz w:val="22"/>
              </w:rPr>
            </w:pPr>
          </w:p>
        </w:tc>
        <w:tc>
          <w:tcPr>
            <w:tcW w:w="7650" w:type="dxa"/>
          </w:tcPr>
          <w:p>
            <w:pPr>
              <w:pStyle w:val="TableParagraph"/>
              <w:spacing w:line="257" w:lineRule="exact"/>
              <w:ind w:right="112"/>
              <w:jc w:val="right"/>
              <w:rPr>
                <w:sz w:val="23"/>
              </w:rPr>
            </w:pPr>
            <w:r>
              <w:rPr>
                <w:sz w:val="23"/>
              </w:rPr>
              <w:t>Testing</w:t>
            </w:r>
            <w:r>
              <w:rPr>
                <w:spacing w:val="16"/>
                <w:sz w:val="23"/>
              </w:rPr>
              <w:t> </w:t>
            </w:r>
            <w:r>
              <w:rPr>
                <w:sz w:val="23"/>
              </w:rPr>
              <w:t>Hypothesis</w:t>
            </w:r>
            <w:r>
              <w:rPr>
                <w:spacing w:val="19"/>
                <w:sz w:val="23"/>
              </w:rPr>
              <w:t> </w:t>
            </w:r>
            <w:r>
              <w:rPr>
                <w:sz w:val="23"/>
              </w:rPr>
              <w:t>3</w:t>
            </w:r>
            <w:r>
              <w:rPr>
                <w:spacing w:val="-5"/>
                <w:sz w:val="23"/>
              </w:rPr>
              <w:t> </w:t>
            </w:r>
            <w:r>
              <w:rPr>
                <w:sz w:val="23"/>
              </w:rPr>
              <w:t>(Logistic</w:t>
            </w:r>
            <w:r>
              <w:rPr>
                <w:spacing w:val="24"/>
                <w:sz w:val="23"/>
              </w:rPr>
              <w:t> </w:t>
            </w:r>
            <w:r>
              <w:rPr>
                <w:spacing w:val="-2"/>
                <w:sz w:val="23"/>
              </w:rPr>
              <w:t>Regression).........................................................</w:t>
            </w:r>
          </w:p>
        </w:tc>
        <w:tc>
          <w:tcPr>
            <w:tcW w:w="389" w:type="dxa"/>
          </w:tcPr>
          <w:p>
            <w:pPr>
              <w:pStyle w:val="TableParagraph"/>
              <w:spacing w:line="257" w:lineRule="exact"/>
              <w:ind w:left="58" w:right="10"/>
              <w:jc w:val="center"/>
              <w:rPr>
                <w:sz w:val="23"/>
              </w:rPr>
            </w:pPr>
            <w:r>
              <w:rPr>
                <w:spacing w:val="-5"/>
                <w:sz w:val="23"/>
              </w:rPr>
              <w:t>26</w:t>
            </w:r>
          </w:p>
        </w:tc>
      </w:tr>
      <w:tr>
        <w:trPr>
          <w:trHeight w:val="521" w:hRule="atLeast"/>
        </w:trPr>
        <w:tc>
          <w:tcPr>
            <w:tcW w:w="351" w:type="dxa"/>
          </w:tcPr>
          <w:p>
            <w:pPr>
              <w:pStyle w:val="TableParagraph"/>
              <w:spacing w:before="125"/>
              <w:ind w:left="34" w:right="85"/>
              <w:jc w:val="center"/>
              <w:rPr>
                <w:sz w:val="23"/>
              </w:rPr>
            </w:pPr>
            <w:r>
              <w:rPr>
                <w:spacing w:val="-5"/>
                <w:sz w:val="23"/>
              </w:rPr>
              <w:t>4.</w:t>
            </w:r>
          </w:p>
        </w:tc>
        <w:tc>
          <w:tcPr>
            <w:tcW w:w="7650" w:type="dxa"/>
          </w:tcPr>
          <w:p>
            <w:pPr>
              <w:pStyle w:val="TableParagraph"/>
              <w:spacing w:before="125"/>
              <w:ind w:right="149"/>
              <w:jc w:val="right"/>
              <w:rPr>
                <w:sz w:val="23"/>
              </w:rPr>
            </w:pPr>
            <w:r>
              <w:rPr>
                <w:spacing w:val="-2"/>
                <w:sz w:val="23"/>
              </w:rPr>
              <w:t>DISCUSSION.......................................................................................................</w:t>
            </w:r>
          </w:p>
        </w:tc>
        <w:tc>
          <w:tcPr>
            <w:tcW w:w="389" w:type="dxa"/>
          </w:tcPr>
          <w:p>
            <w:pPr>
              <w:pStyle w:val="TableParagraph"/>
              <w:spacing w:before="125"/>
              <w:ind w:left="58" w:right="7"/>
              <w:jc w:val="center"/>
              <w:rPr>
                <w:sz w:val="23"/>
              </w:rPr>
            </w:pPr>
            <w:r>
              <w:rPr>
                <w:spacing w:val="-5"/>
                <w:w w:val="105"/>
                <w:sz w:val="23"/>
              </w:rPr>
              <w:t>29</w:t>
            </w:r>
          </w:p>
        </w:tc>
      </w:tr>
      <w:tr>
        <w:trPr>
          <w:trHeight w:val="410" w:hRule="atLeast"/>
        </w:trPr>
        <w:tc>
          <w:tcPr>
            <w:tcW w:w="351" w:type="dxa"/>
          </w:tcPr>
          <w:p>
            <w:pPr>
              <w:pStyle w:val="TableParagraph"/>
              <w:rPr>
                <w:sz w:val="22"/>
              </w:rPr>
            </w:pPr>
          </w:p>
        </w:tc>
        <w:tc>
          <w:tcPr>
            <w:tcW w:w="7650" w:type="dxa"/>
          </w:tcPr>
          <w:p>
            <w:pPr>
              <w:pStyle w:val="TableParagraph"/>
              <w:spacing w:before="122"/>
              <w:ind w:right="124"/>
              <w:jc w:val="right"/>
              <w:rPr>
                <w:sz w:val="23"/>
              </w:rPr>
            </w:pPr>
            <w:r>
              <w:rPr>
                <w:sz w:val="23"/>
              </w:rPr>
              <w:t>Limitations</w:t>
            </w:r>
            <w:r>
              <w:rPr>
                <w:spacing w:val="27"/>
                <w:sz w:val="23"/>
              </w:rPr>
              <w:t> </w:t>
            </w:r>
            <w:r>
              <w:rPr>
                <w:sz w:val="23"/>
              </w:rPr>
              <w:t>and</w:t>
            </w:r>
            <w:r>
              <w:rPr>
                <w:spacing w:val="31"/>
                <w:sz w:val="23"/>
              </w:rPr>
              <w:t> </w:t>
            </w:r>
            <w:r>
              <w:rPr>
                <w:sz w:val="23"/>
              </w:rPr>
              <w:t>Future</w:t>
            </w:r>
            <w:r>
              <w:rPr>
                <w:spacing w:val="13"/>
                <w:sz w:val="23"/>
              </w:rPr>
              <w:t> </w:t>
            </w:r>
            <w:r>
              <w:rPr>
                <w:spacing w:val="-2"/>
                <w:sz w:val="23"/>
              </w:rPr>
              <w:t>Directions........................................................................</w:t>
            </w:r>
          </w:p>
        </w:tc>
        <w:tc>
          <w:tcPr>
            <w:tcW w:w="389" w:type="dxa"/>
          </w:tcPr>
          <w:p>
            <w:pPr>
              <w:pStyle w:val="TableParagraph"/>
              <w:spacing w:before="122"/>
              <w:ind w:left="58" w:right="16"/>
              <w:jc w:val="center"/>
              <w:rPr>
                <w:sz w:val="23"/>
              </w:rPr>
            </w:pPr>
            <w:r>
              <w:rPr>
                <w:spacing w:val="-5"/>
                <w:w w:val="105"/>
                <w:sz w:val="23"/>
              </w:rPr>
              <w:t>32</w:t>
            </w:r>
          </w:p>
        </w:tc>
      </w:tr>
      <w:tr>
        <w:trPr>
          <w:trHeight w:val="437" w:hRule="atLeast"/>
        </w:trPr>
        <w:tc>
          <w:tcPr>
            <w:tcW w:w="351" w:type="dxa"/>
          </w:tcPr>
          <w:p>
            <w:pPr>
              <w:pStyle w:val="TableParagraph"/>
              <w:rPr>
                <w:sz w:val="22"/>
              </w:rPr>
            </w:pPr>
          </w:p>
        </w:tc>
        <w:tc>
          <w:tcPr>
            <w:tcW w:w="7650" w:type="dxa"/>
          </w:tcPr>
          <w:p>
            <w:pPr>
              <w:pStyle w:val="TableParagraph"/>
              <w:spacing w:before="14"/>
              <w:ind w:right="127"/>
              <w:jc w:val="right"/>
              <w:rPr>
                <w:sz w:val="23"/>
              </w:rPr>
            </w:pPr>
            <w:r>
              <w:rPr>
                <w:sz w:val="23"/>
              </w:rPr>
              <w:t>Conclusion</w:t>
            </w:r>
            <w:r>
              <w:rPr>
                <w:spacing w:val="75"/>
                <w:sz w:val="23"/>
              </w:rPr>
              <w:t> </w:t>
            </w:r>
            <w:r>
              <w:rPr>
                <w:spacing w:val="-2"/>
                <w:sz w:val="23"/>
              </w:rPr>
              <w:t>............................................................................................................</w:t>
            </w:r>
          </w:p>
        </w:tc>
        <w:tc>
          <w:tcPr>
            <w:tcW w:w="389" w:type="dxa"/>
          </w:tcPr>
          <w:p>
            <w:pPr>
              <w:pStyle w:val="TableParagraph"/>
              <w:spacing w:before="14"/>
              <w:ind w:left="58" w:right="14"/>
              <w:jc w:val="center"/>
              <w:rPr>
                <w:sz w:val="23"/>
              </w:rPr>
            </w:pPr>
            <w:r>
              <w:rPr>
                <w:spacing w:val="-5"/>
                <w:w w:val="105"/>
                <w:sz w:val="23"/>
              </w:rPr>
              <w:t>34</w:t>
            </w:r>
          </w:p>
        </w:tc>
      </w:tr>
      <w:tr>
        <w:trPr>
          <w:trHeight w:val="413" w:hRule="atLeast"/>
        </w:trPr>
        <w:tc>
          <w:tcPr>
            <w:tcW w:w="351" w:type="dxa"/>
          </w:tcPr>
          <w:p>
            <w:pPr>
              <w:pStyle w:val="TableParagraph"/>
              <w:rPr>
                <w:sz w:val="22"/>
              </w:rPr>
            </w:pPr>
          </w:p>
        </w:tc>
        <w:tc>
          <w:tcPr>
            <w:tcW w:w="7650" w:type="dxa"/>
          </w:tcPr>
          <w:p>
            <w:pPr>
              <w:pStyle w:val="TableParagraph"/>
              <w:spacing w:line="245" w:lineRule="exact" w:before="149"/>
              <w:ind w:right="82"/>
              <w:jc w:val="center"/>
              <w:rPr>
                <w:sz w:val="23"/>
              </w:rPr>
            </w:pPr>
            <w:r>
              <w:rPr>
                <w:spacing w:val="-5"/>
                <w:sz w:val="23"/>
              </w:rPr>
              <w:t>iii</w:t>
            </w:r>
          </w:p>
        </w:tc>
        <w:tc>
          <w:tcPr>
            <w:tcW w:w="389" w:type="dxa"/>
          </w:tcPr>
          <w:p>
            <w:pPr>
              <w:pStyle w:val="TableParagraph"/>
              <w:rPr>
                <w:sz w:val="22"/>
              </w:rPr>
            </w:pPr>
          </w:p>
        </w:tc>
      </w:tr>
    </w:tbl>
    <w:p>
      <w:pPr>
        <w:spacing w:after="0"/>
        <w:rPr>
          <w:sz w:val="22"/>
        </w:rPr>
        <w:sectPr>
          <w:headerReference w:type="default" r:id="rId13"/>
          <w:pgSz w:w="12480" w:h="15740"/>
          <w:pgMar w:header="2986" w:footer="0" w:top="3240" w:bottom="280" w:left="1760" w:right="1660"/>
        </w:sectPr>
      </w:pPr>
    </w:p>
    <w:p>
      <w:pPr>
        <w:pStyle w:val="BodyText"/>
        <w:tabs>
          <w:tab w:pos="8790" w:val="right" w:leader="dot"/>
        </w:tabs>
        <w:spacing w:before="139"/>
        <w:ind w:left="412"/>
        <w:jc w:val="center"/>
      </w:pPr>
      <w:r>
        <w:rPr/>
        <w:t>APPENDIX:</w:t>
      </w:r>
      <w:r>
        <w:rPr>
          <w:spacing w:val="76"/>
        </w:rPr>
        <w:t> </w:t>
      </w:r>
      <w:r>
        <w:rPr/>
        <w:t>SOCIAL/LEISURE</w:t>
      </w:r>
      <w:r>
        <w:rPr>
          <w:spacing w:val="55"/>
        </w:rPr>
        <w:t> </w:t>
      </w:r>
      <w:r>
        <w:rPr/>
        <w:t>ACTIVITIES</w:t>
      </w:r>
      <w:r>
        <w:rPr>
          <w:spacing w:val="72"/>
        </w:rPr>
        <w:t> </w:t>
      </w:r>
      <w:r>
        <w:rPr>
          <w:spacing w:val="-2"/>
        </w:rPr>
        <w:t>SCALE.</w:t>
      </w:r>
      <w:r>
        <w:rPr/>
        <w:tab/>
      </w:r>
      <w:r>
        <w:rPr>
          <w:spacing w:val="-5"/>
        </w:rPr>
        <w:t>35</w:t>
      </w:r>
    </w:p>
    <w:p>
      <w:pPr>
        <w:pStyle w:val="BodyText"/>
        <w:tabs>
          <w:tab w:pos="8811" w:val="right" w:leader="dot"/>
        </w:tabs>
        <w:spacing w:before="271"/>
        <w:ind w:left="430"/>
        <w:jc w:val="center"/>
      </w:pPr>
      <w:r>
        <w:rPr>
          <w:spacing w:val="-2"/>
        </w:rPr>
        <w:t>REFERENCES</w:t>
      </w:r>
      <w:r>
        <w:rPr/>
        <w:tab/>
      </w:r>
      <w:r>
        <w:rPr>
          <w:spacing w:val="-5"/>
        </w:rPr>
        <w:t>37</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1"/>
      </w:pPr>
    </w:p>
    <w:p>
      <w:pPr>
        <w:pStyle w:val="Heading1"/>
        <w:spacing w:before="0"/>
        <w:ind w:left="408"/>
        <w:jc w:val="center"/>
      </w:pPr>
      <w:r>
        <w:rPr>
          <w:spacing w:val="-5"/>
        </w:rPr>
        <w:t>iv</w:t>
      </w:r>
    </w:p>
    <w:p>
      <w:pPr>
        <w:spacing w:after="0"/>
        <w:jc w:val="center"/>
        <w:sectPr>
          <w:headerReference w:type="default" r:id="rId14"/>
          <w:pgSz w:w="12570" w:h="15780"/>
          <w:pgMar w:header="0" w:footer="0" w:top="1800" w:bottom="280" w:left="1780" w:right="1760"/>
        </w:sectPr>
      </w:pPr>
    </w:p>
    <w:p>
      <w:pPr>
        <w:pStyle w:val="BodyText"/>
        <w:rPr>
          <w:sz w:val="23"/>
        </w:rPr>
      </w:pPr>
    </w:p>
    <w:p>
      <w:pPr>
        <w:pStyle w:val="BodyText"/>
        <w:rPr>
          <w:sz w:val="23"/>
        </w:rPr>
      </w:pPr>
    </w:p>
    <w:p>
      <w:pPr>
        <w:pStyle w:val="BodyText"/>
        <w:spacing w:before="244"/>
        <w:rPr>
          <w:sz w:val="23"/>
        </w:rPr>
      </w:pPr>
    </w:p>
    <w:p>
      <w:pPr>
        <w:pStyle w:val="Heading1"/>
        <w:numPr>
          <w:ilvl w:val="0"/>
          <w:numId w:val="1"/>
        </w:numPr>
        <w:tabs>
          <w:tab w:pos="1017" w:val="left" w:leader="none"/>
          <w:tab w:pos="8638" w:val="left" w:leader="dot"/>
        </w:tabs>
        <w:spacing w:line="240" w:lineRule="auto" w:before="0" w:after="0"/>
        <w:ind w:left="1017" w:right="0" w:hanging="526"/>
        <w:jc w:val="left"/>
      </w:pPr>
      <w:r>
        <w:rPr/>
        <w:t>Individual</w:t>
      </w:r>
      <w:r>
        <w:rPr>
          <w:spacing w:val="9"/>
        </w:rPr>
        <w:t> </w:t>
      </w:r>
      <w:r>
        <w:rPr/>
        <w:t>Charcteristics</w:t>
      </w:r>
      <w:r>
        <w:rPr>
          <w:spacing w:val="-10"/>
        </w:rPr>
        <w:t> </w:t>
      </w:r>
      <w:r>
        <w:rPr/>
        <w:t>of</w:t>
      </w:r>
      <w:r>
        <w:rPr>
          <w:spacing w:val="-1"/>
        </w:rPr>
        <w:t> </w:t>
      </w:r>
      <w:r>
        <w:rPr/>
        <w:t>the</w:t>
      </w:r>
      <w:r>
        <w:rPr>
          <w:spacing w:val="2"/>
        </w:rPr>
        <w:t> </w:t>
      </w:r>
      <w:r>
        <w:rPr/>
        <w:t>2008</w:t>
      </w:r>
      <w:r>
        <w:rPr>
          <w:spacing w:val="-1"/>
        </w:rPr>
        <w:t> </w:t>
      </w:r>
      <w:r>
        <w:rPr>
          <w:spacing w:val="-2"/>
        </w:rPr>
        <w:t>Sample.</w:t>
      </w:r>
      <w:r>
        <w:rPr/>
        <w:tab/>
      </w:r>
      <w:r>
        <w:rPr>
          <w:spacing w:val="-5"/>
        </w:rPr>
        <w:t>20</w:t>
      </w:r>
    </w:p>
    <w:p>
      <w:pPr>
        <w:pStyle w:val="Heading1"/>
        <w:numPr>
          <w:ilvl w:val="0"/>
          <w:numId w:val="1"/>
        </w:numPr>
        <w:tabs>
          <w:tab w:pos="1005" w:val="left" w:leader="none"/>
        </w:tabs>
        <w:spacing w:line="296" w:lineRule="exact" w:before="236" w:after="0"/>
        <w:ind w:left="1005" w:right="0" w:hanging="520"/>
        <w:jc w:val="left"/>
      </w:pPr>
      <w:r>
        <w:rPr/>
        <w:t>Correlations</w:t>
      </w:r>
      <w:r>
        <w:rPr>
          <w:spacing w:val="7"/>
        </w:rPr>
        <w:t> </w:t>
      </w:r>
      <w:r>
        <w:rPr/>
        <w:t>Between</w:t>
      </w:r>
      <w:r>
        <w:rPr>
          <w:spacing w:val="9"/>
        </w:rPr>
        <w:t> </w:t>
      </w:r>
      <w:r>
        <w:rPr/>
        <w:t>Test</w:t>
      </w:r>
      <w:r>
        <w:rPr>
          <w:spacing w:val="5"/>
        </w:rPr>
        <w:t> </w:t>
      </w:r>
      <w:r>
        <w:rPr/>
        <w:t>Variables</w:t>
      </w:r>
      <w:r>
        <w:rPr>
          <w:spacing w:val="10"/>
        </w:rPr>
        <w:t> </w:t>
      </w:r>
      <w:r>
        <w:rPr/>
        <w:t>for</w:t>
      </w:r>
      <w:r>
        <w:rPr>
          <w:spacing w:val="4"/>
        </w:rPr>
        <w:t> </w:t>
      </w:r>
      <w:r>
        <w:rPr/>
        <w:t>FM</w:t>
      </w:r>
      <w:r>
        <w:rPr>
          <w:spacing w:val="-2"/>
        </w:rPr>
        <w:t> </w:t>
      </w:r>
      <w:r>
        <w:rPr/>
        <w:t>group</w:t>
      </w:r>
      <w:r>
        <w:rPr>
          <w:spacing w:val="-7"/>
        </w:rPr>
        <w:t> </w:t>
      </w:r>
      <w:r>
        <w:rPr/>
        <w:t>(Above</w:t>
      </w:r>
      <w:r>
        <w:rPr>
          <w:spacing w:val="7"/>
        </w:rPr>
        <w:t> </w:t>
      </w:r>
      <w:r>
        <w:rPr/>
        <w:t>Diagonal;</w:t>
      </w:r>
      <w:r>
        <w:rPr>
          <w:spacing w:val="5"/>
        </w:rPr>
        <w:t> </w:t>
      </w:r>
      <w:r>
        <w:rPr/>
        <w:t>N</w:t>
      </w:r>
      <w:r>
        <w:rPr>
          <w:spacing w:val="-1"/>
        </w:rPr>
        <w:t> </w:t>
      </w:r>
      <w:r>
        <w:rPr>
          <w:sz w:val="26"/>
        </w:rPr>
        <w:t>=</w:t>
      </w:r>
      <w:r>
        <w:rPr>
          <w:spacing w:val="-13"/>
          <w:sz w:val="26"/>
        </w:rPr>
        <w:t> </w:t>
      </w:r>
      <w:r>
        <w:rPr>
          <w:spacing w:val="-5"/>
        </w:rPr>
        <w:t>70)</w:t>
      </w:r>
    </w:p>
    <w:p>
      <w:pPr>
        <w:pStyle w:val="Heading1"/>
        <w:tabs>
          <w:tab w:pos="8638" w:val="left" w:leader="dot"/>
        </w:tabs>
        <w:spacing w:line="296" w:lineRule="exact" w:before="0"/>
        <w:ind w:left="1012"/>
      </w:pPr>
      <w:r>
        <w:rPr>
          <w:spacing w:val="-2"/>
          <w:w w:val="105"/>
        </w:rPr>
        <w:t>And</w:t>
      </w:r>
      <w:r>
        <w:rPr>
          <w:spacing w:val="-11"/>
          <w:w w:val="105"/>
        </w:rPr>
        <w:t> </w:t>
      </w:r>
      <w:r>
        <w:rPr>
          <w:spacing w:val="-2"/>
          <w:w w:val="105"/>
        </w:rPr>
        <w:t>non-</w:t>
      </w:r>
      <w:r>
        <w:rPr>
          <w:spacing w:val="-13"/>
          <w:w w:val="105"/>
        </w:rPr>
        <w:t> </w:t>
      </w:r>
      <w:r>
        <w:rPr>
          <w:spacing w:val="-2"/>
          <w:w w:val="105"/>
        </w:rPr>
        <w:t>FM</w:t>
      </w:r>
      <w:r>
        <w:rPr>
          <w:spacing w:val="-3"/>
          <w:w w:val="105"/>
        </w:rPr>
        <w:t> </w:t>
      </w:r>
      <w:r>
        <w:rPr>
          <w:spacing w:val="-2"/>
          <w:w w:val="105"/>
        </w:rPr>
        <w:t>group</w:t>
      </w:r>
      <w:r>
        <w:rPr>
          <w:spacing w:val="-11"/>
          <w:w w:val="105"/>
        </w:rPr>
        <w:t> </w:t>
      </w:r>
      <w:r>
        <w:rPr>
          <w:spacing w:val="-2"/>
          <w:w w:val="105"/>
        </w:rPr>
        <w:t>(Below</w:t>
      </w:r>
      <w:r>
        <w:rPr>
          <w:spacing w:val="7"/>
          <w:w w:val="105"/>
        </w:rPr>
        <w:t> </w:t>
      </w:r>
      <w:r>
        <w:rPr>
          <w:spacing w:val="-2"/>
          <w:w w:val="105"/>
        </w:rPr>
        <w:t>Diagonal;</w:t>
      </w:r>
      <w:r>
        <w:rPr>
          <w:spacing w:val="4"/>
          <w:w w:val="105"/>
        </w:rPr>
        <w:t> </w:t>
      </w:r>
      <w:r>
        <w:rPr>
          <w:spacing w:val="-2"/>
          <w:w w:val="105"/>
        </w:rPr>
        <w:t>N</w:t>
      </w:r>
      <w:r>
        <w:rPr>
          <w:spacing w:val="-6"/>
          <w:w w:val="105"/>
        </w:rPr>
        <w:t> </w:t>
      </w:r>
      <w:r>
        <w:rPr>
          <w:spacing w:val="-2"/>
          <w:w w:val="105"/>
          <w:sz w:val="26"/>
        </w:rPr>
        <w:t>=</w:t>
      </w:r>
      <w:r>
        <w:rPr>
          <w:spacing w:val="-15"/>
          <w:w w:val="105"/>
          <w:sz w:val="26"/>
        </w:rPr>
        <w:t> </w:t>
      </w:r>
      <w:r>
        <w:rPr>
          <w:spacing w:val="-5"/>
          <w:w w:val="105"/>
        </w:rPr>
        <w:t>76)</w:t>
      </w:r>
      <w:r>
        <w:rPr/>
        <w:tab/>
      </w:r>
      <w:r>
        <w:rPr>
          <w:spacing w:val="-5"/>
          <w:w w:val="105"/>
        </w:rPr>
        <w:t>22</w:t>
      </w:r>
    </w:p>
    <w:p>
      <w:pPr>
        <w:pStyle w:val="Heading1"/>
        <w:numPr>
          <w:ilvl w:val="0"/>
          <w:numId w:val="1"/>
        </w:numPr>
        <w:tabs>
          <w:tab w:pos="1005" w:val="left" w:leader="none"/>
          <w:tab w:pos="1016" w:val="left" w:leader="none"/>
          <w:tab w:pos="8638" w:val="left" w:leader="dot"/>
        </w:tabs>
        <w:spacing w:line="266" w:lineRule="auto" w:before="258" w:after="0"/>
        <w:ind w:left="1016" w:right="110" w:hanging="532"/>
        <w:jc w:val="left"/>
      </w:pPr>
      <w:r>
        <w:rPr/>
        <w:t>Correlations Between Variables of Interest and Other Potentially Contributing </w:t>
      </w:r>
      <w:r>
        <w:rPr>
          <w:spacing w:val="-2"/>
        </w:rPr>
        <w:t>Variables.</w:t>
      </w:r>
      <w:r>
        <w:rPr/>
        <w:tab/>
      </w:r>
      <w:r>
        <w:rPr>
          <w:spacing w:val="-6"/>
        </w:rPr>
        <w:t>23</w:t>
      </w:r>
    </w:p>
    <w:p>
      <w:pPr>
        <w:pStyle w:val="Heading1"/>
        <w:numPr>
          <w:ilvl w:val="0"/>
          <w:numId w:val="1"/>
        </w:numPr>
        <w:tabs>
          <w:tab w:pos="1014" w:val="left" w:leader="none"/>
          <w:tab w:pos="1018" w:val="left" w:leader="none"/>
          <w:tab w:pos="8638" w:val="left" w:leader="dot"/>
        </w:tabs>
        <w:spacing w:line="271" w:lineRule="auto" w:before="230" w:after="0"/>
        <w:ind w:left="1014" w:right="110" w:hanging="529"/>
        <w:jc w:val="left"/>
      </w:pPr>
      <w:r>
        <w:rPr/>
        <w:tab/>
        <w:t>Linear</w:t>
      </w:r>
      <w:r>
        <w:rPr>
          <w:spacing w:val="80"/>
        </w:rPr>
        <w:t> </w:t>
      </w:r>
      <w:r>
        <w:rPr/>
        <w:t>Regressions</w:t>
      </w:r>
      <w:r>
        <w:rPr>
          <w:spacing w:val="78"/>
        </w:rPr>
        <w:t> </w:t>
      </w:r>
      <w:r>
        <w:rPr/>
        <w:t>for</w:t>
      </w:r>
      <w:r>
        <w:rPr>
          <w:spacing w:val="69"/>
        </w:rPr>
        <w:t> </w:t>
      </w:r>
      <w:r>
        <w:rPr/>
        <w:t>FM</w:t>
      </w:r>
      <w:r>
        <w:rPr>
          <w:spacing w:val="80"/>
        </w:rPr>
        <w:t> </w:t>
      </w:r>
      <w:r>
        <w:rPr/>
        <w:t>Status</w:t>
      </w:r>
      <w:r>
        <w:rPr>
          <w:spacing w:val="63"/>
        </w:rPr>
        <w:t> </w:t>
      </w:r>
      <w:r>
        <w:rPr/>
        <w:t>and</w:t>
      </w:r>
      <w:r>
        <w:rPr>
          <w:spacing w:val="80"/>
        </w:rPr>
        <w:t> </w:t>
      </w:r>
      <w:r>
        <w:rPr/>
        <w:t>Leisure</w:t>
      </w:r>
      <w:r>
        <w:rPr>
          <w:spacing w:val="70"/>
        </w:rPr>
        <w:t> </w:t>
      </w:r>
      <w:r>
        <w:rPr/>
        <w:t>Activities</w:t>
      </w:r>
      <w:r>
        <w:rPr>
          <w:spacing w:val="80"/>
        </w:rPr>
        <w:t> </w:t>
      </w:r>
      <w:r>
        <w:rPr/>
        <w:t>Predicting</w:t>
      </w:r>
      <w:r>
        <w:rPr/>
        <w:t> </w:t>
      </w:r>
      <w:r>
        <w:rPr>
          <w:spacing w:val="-2"/>
        </w:rPr>
        <w:t>Depression.</w:t>
      </w:r>
      <w:r>
        <w:rPr/>
        <w:tab/>
      </w:r>
      <w:r>
        <w:rPr>
          <w:spacing w:val="-5"/>
        </w:rPr>
        <w:t>26</w:t>
      </w:r>
    </w:p>
    <w:p>
      <w:pPr>
        <w:pStyle w:val="Heading1"/>
        <w:numPr>
          <w:ilvl w:val="0"/>
          <w:numId w:val="1"/>
        </w:numPr>
        <w:tabs>
          <w:tab w:pos="1018" w:val="left" w:leader="none"/>
        </w:tabs>
        <w:spacing w:line="240" w:lineRule="auto" w:before="219" w:after="0"/>
        <w:ind w:left="1018" w:right="0" w:hanging="530"/>
        <w:jc w:val="left"/>
      </w:pPr>
      <w:r>
        <w:rPr/>
        <w:t>Logistic</w:t>
      </w:r>
      <w:r>
        <w:rPr>
          <w:spacing w:val="9"/>
        </w:rPr>
        <w:t> </w:t>
      </w:r>
      <w:r>
        <w:rPr/>
        <w:t>Regressions</w:t>
      </w:r>
      <w:r>
        <w:rPr>
          <w:spacing w:val="4"/>
        </w:rPr>
        <w:t> </w:t>
      </w:r>
      <w:r>
        <w:rPr/>
        <w:t>for</w:t>
      </w:r>
      <w:r>
        <w:rPr>
          <w:spacing w:val="-5"/>
        </w:rPr>
        <w:t> </w:t>
      </w:r>
      <w:r>
        <w:rPr/>
        <w:t>Overall,</w:t>
      </w:r>
      <w:r>
        <w:rPr>
          <w:spacing w:val="2"/>
        </w:rPr>
        <w:t> </w:t>
      </w:r>
      <w:r>
        <w:rPr/>
        <w:t>Active,</w:t>
      </w:r>
      <w:r>
        <w:rPr>
          <w:spacing w:val="3"/>
        </w:rPr>
        <w:t> </w:t>
      </w:r>
      <w:r>
        <w:rPr/>
        <w:t>and</w:t>
      </w:r>
      <w:r>
        <w:rPr>
          <w:spacing w:val="8"/>
        </w:rPr>
        <w:t> </w:t>
      </w:r>
      <w:r>
        <w:rPr/>
        <w:t>Passive</w:t>
      </w:r>
      <w:r>
        <w:rPr>
          <w:spacing w:val="9"/>
        </w:rPr>
        <w:t> </w:t>
      </w:r>
      <w:r>
        <w:rPr/>
        <w:t>Leisure</w:t>
      </w:r>
      <w:r>
        <w:rPr>
          <w:spacing w:val="7"/>
        </w:rPr>
        <w:t> </w:t>
      </w:r>
      <w:r>
        <w:rPr>
          <w:spacing w:val="-2"/>
        </w:rPr>
        <w:t>Predicting</w:t>
      </w:r>
    </w:p>
    <w:p>
      <w:pPr>
        <w:tabs>
          <w:tab w:pos="8638" w:val="left" w:leader="dot"/>
        </w:tabs>
        <w:spacing w:before="10"/>
        <w:ind w:left="1019" w:right="0" w:firstLine="0"/>
        <w:jc w:val="left"/>
        <w:rPr>
          <w:sz w:val="23"/>
        </w:rPr>
      </w:pPr>
      <w:r>
        <w:rPr>
          <w:sz w:val="23"/>
        </w:rPr>
        <w:t>Depression</w:t>
      </w:r>
      <w:r>
        <w:rPr>
          <w:spacing w:val="8"/>
          <w:sz w:val="23"/>
        </w:rPr>
        <w:t> </w:t>
      </w:r>
      <w:r>
        <w:rPr>
          <w:sz w:val="22"/>
        </w:rPr>
        <w:t>(N </w:t>
      </w:r>
      <w:r>
        <w:rPr>
          <w:sz w:val="26"/>
        </w:rPr>
        <w:t>=</w:t>
      </w:r>
      <w:r>
        <w:rPr>
          <w:spacing w:val="-17"/>
          <w:sz w:val="26"/>
        </w:rPr>
        <w:t> </w:t>
      </w:r>
      <w:r>
        <w:rPr>
          <w:spacing w:val="-5"/>
          <w:sz w:val="23"/>
        </w:rPr>
        <w:t>78)</w:t>
      </w:r>
      <w:r>
        <w:rPr>
          <w:sz w:val="23"/>
        </w:rPr>
        <w:tab/>
      </w:r>
      <w:r>
        <w:rPr>
          <w:spacing w:val="-5"/>
          <w:sz w:val="23"/>
        </w:rPr>
        <w:t>27</w:t>
      </w: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rPr>
          <w:sz w:val="23"/>
        </w:rPr>
      </w:pPr>
    </w:p>
    <w:p>
      <w:pPr>
        <w:pStyle w:val="BodyText"/>
        <w:spacing w:before="175"/>
        <w:rPr>
          <w:sz w:val="23"/>
        </w:rPr>
      </w:pPr>
    </w:p>
    <w:p>
      <w:pPr>
        <w:spacing w:before="1"/>
        <w:ind w:left="435" w:right="98" w:firstLine="0"/>
        <w:jc w:val="center"/>
        <w:rPr>
          <w:sz w:val="15"/>
        </w:rPr>
      </w:pPr>
      <w:r>
        <w:rPr>
          <w:spacing w:val="-10"/>
          <w:sz w:val="15"/>
        </w:rPr>
        <w:t>V</w:t>
      </w:r>
    </w:p>
    <w:p>
      <w:pPr>
        <w:spacing w:after="0"/>
        <w:jc w:val="center"/>
        <w:rPr>
          <w:sz w:val="15"/>
        </w:rPr>
        <w:sectPr>
          <w:headerReference w:type="default" r:id="rId15"/>
          <w:pgSz w:w="12450" w:h="15750"/>
          <w:pgMar w:header="3000" w:footer="0" w:top="3240" w:bottom="280" w:left="1760" w:right="1700"/>
        </w:sectPr>
      </w:pPr>
    </w:p>
    <w:p>
      <w:pPr>
        <w:pStyle w:val="BodyText"/>
        <w:spacing w:before="17"/>
      </w:pPr>
    </w:p>
    <w:p>
      <w:pPr>
        <w:pStyle w:val="BodyText"/>
        <w:spacing w:before="1"/>
        <w:ind w:left="750"/>
        <w:jc w:val="center"/>
      </w:pPr>
      <w:r>
        <w:rPr>
          <w:spacing w:val="-2"/>
          <w:w w:val="105"/>
        </w:rPr>
        <w:t>INTRODUCTION</w:t>
      </w:r>
    </w:p>
    <w:p>
      <w:pPr>
        <w:pStyle w:val="BodyText"/>
      </w:pPr>
    </w:p>
    <w:p>
      <w:pPr>
        <w:pStyle w:val="BodyText"/>
        <w:spacing w:before="24"/>
      </w:pPr>
    </w:p>
    <w:p>
      <w:pPr>
        <w:pStyle w:val="BodyText"/>
        <w:spacing w:line="494" w:lineRule="auto"/>
        <w:ind w:left="475" w:right="166" w:firstLine="693"/>
      </w:pPr>
      <w:r>
        <w:rPr>
          <w:w w:val="105"/>
        </w:rPr>
        <w:t>Fibromyalgia</w:t>
      </w:r>
      <w:r>
        <w:rPr>
          <w:spacing w:val="34"/>
          <w:w w:val="105"/>
        </w:rPr>
        <w:t> </w:t>
      </w:r>
      <w:r>
        <w:rPr>
          <w:w w:val="105"/>
        </w:rPr>
        <w:t>(FM) is</w:t>
      </w:r>
      <w:r>
        <w:rPr>
          <w:spacing w:val="-6"/>
          <w:w w:val="105"/>
        </w:rPr>
        <w:t> </w:t>
      </w:r>
      <w:r>
        <w:rPr>
          <w:w w:val="105"/>
        </w:rPr>
        <w:t>a disorder that is</w:t>
      </w:r>
      <w:r>
        <w:rPr>
          <w:spacing w:val="-6"/>
          <w:w w:val="105"/>
        </w:rPr>
        <w:t> </w:t>
      </w:r>
      <w:r>
        <w:rPr>
          <w:w w:val="105"/>
        </w:rPr>
        <w:t>characterized</w:t>
      </w:r>
      <w:r>
        <w:rPr>
          <w:spacing w:val="40"/>
          <w:w w:val="105"/>
        </w:rPr>
        <w:t> </w:t>
      </w:r>
      <w:r>
        <w:rPr>
          <w:w w:val="105"/>
        </w:rPr>
        <w:t>by the presence of</w:t>
      </w:r>
      <w:r>
        <w:rPr>
          <w:spacing w:val="-1"/>
          <w:w w:val="105"/>
        </w:rPr>
        <w:t> </w:t>
      </w:r>
      <w:r>
        <w:rPr>
          <w:w w:val="105"/>
        </w:rPr>
        <w:t>chronic musculoskeletal pain,</w:t>
      </w:r>
      <w:r>
        <w:rPr>
          <w:spacing w:val="-6"/>
          <w:w w:val="105"/>
        </w:rPr>
        <w:t> </w:t>
      </w:r>
      <w:r>
        <w:rPr>
          <w:w w:val="105"/>
        </w:rPr>
        <w:t>as well</w:t>
      </w:r>
      <w:r>
        <w:rPr>
          <w:spacing w:val="-1"/>
          <w:w w:val="105"/>
        </w:rPr>
        <w:t> </w:t>
      </w:r>
      <w:r>
        <w:rPr>
          <w:w w:val="105"/>
        </w:rPr>
        <w:t>as a number of</w:t>
      </w:r>
      <w:r>
        <w:rPr>
          <w:spacing w:val="-9"/>
          <w:w w:val="105"/>
        </w:rPr>
        <w:t> </w:t>
      </w:r>
      <w:r>
        <w:rPr>
          <w:w w:val="105"/>
        </w:rPr>
        <w:t>other symptoms (Arnold et</w:t>
      </w:r>
      <w:r>
        <w:rPr>
          <w:spacing w:val="-5"/>
          <w:w w:val="105"/>
        </w:rPr>
        <w:t> </w:t>
      </w:r>
      <w:r>
        <w:rPr>
          <w:w w:val="105"/>
        </w:rPr>
        <w:t>al., 2006;</w:t>
      </w:r>
      <w:r>
        <w:rPr>
          <w:spacing w:val="-5"/>
          <w:w w:val="105"/>
        </w:rPr>
        <w:t> </w:t>
      </w:r>
      <w:r>
        <w:rPr>
          <w:w w:val="105"/>
        </w:rPr>
        <w:t>Terre, 20</w:t>
      </w:r>
      <w:r>
        <w:rPr>
          <w:spacing w:val="-30"/>
          <w:w w:val="105"/>
        </w:rPr>
        <w:t> </w:t>
      </w:r>
      <w:r>
        <w:rPr>
          <w:w w:val="105"/>
        </w:rPr>
        <w:t>l</w:t>
      </w:r>
      <w:r>
        <w:rPr>
          <w:spacing w:val="-26"/>
          <w:w w:val="105"/>
        </w:rPr>
        <w:t> </w:t>
      </w:r>
      <w:r>
        <w:rPr>
          <w:w w:val="105"/>
        </w:rPr>
        <w:t>0).</w:t>
      </w:r>
      <w:r>
        <w:rPr>
          <w:spacing w:val="-14"/>
          <w:w w:val="105"/>
        </w:rPr>
        <w:t> </w:t>
      </w:r>
      <w:r>
        <w:rPr>
          <w:w w:val="105"/>
        </w:rPr>
        <w:t>As</w:t>
      </w:r>
      <w:r>
        <w:rPr>
          <w:spacing w:val="-14"/>
          <w:w w:val="105"/>
        </w:rPr>
        <w:t> </w:t>
      </w:r>
      <w:r>
        <w:rPr>
          <w:w w:val="105"/>
        </w:rPr>
        <w:t>defined</w:t>
      </w:r>
      <w:r>
        <w:rPr>
          <w:spacing w:val="21"/>
          <w:w w:val="105"/>
        </w:rPr>
        <w:t> </w:t>
      </w:r>
      <w:r>
        <w:rPr>
          <w:w w:val="105"/>
        </w:rPr>
        <w:t>by</w:t>
      </w:r>
      <w:r>
        <w:rPr>
          <w:spacing w:val="-12"/>
          <w:w w:val="105"/>
        </w:rPr>
        <w:t> </w:t>
      </w:r>
      <w:r>
        <w:rPr>
          <w:w w:val="105"/>
        </w:rPr>
        <w:t>the</w:t>
      </w:r>
      <w:r>
        <w:rPr>
          <w:spacing w:val="-10"/>
          <w:w w:val="105"/>
        </w:rPr>
        <w:t> </w:t>
      </w:r>
      <w:r>
        <w:rPr>
          <w:w w:val="105"/>
        </w:rPr>
        <w:t>College of</w:t>
      </w:r>
      <w:r>
        <w:rPr>
          <w:spacing w:val="-7"/>
          <w:w w:val="105"/>
        </w:rPr>
        <w:t> </w:t>
      </w:r>
      <w:r>
        <w:rPr>
          <w:w w:val="105"/>
        </w:rPr>
        <w:t>American</w:t>
      </w:r>
      <w:r>
        <w:rPr>
          <w:spacing w:val="15"/>
          <w:w w:val="105"/>
        </w:rPr>
        <w:t> </w:t>
      </w:r>
      <w:r>
        <w:rPr>
          <w:w w:val="105"/>
        </w:rPr>
        <w:t>Rheumatology,</w:t>
      </w:r>
      <w:r>
        <w:rPr>
          <w:spacing w:val="16"/>
          <w:w w:val="105"/>
        </w:rPr>
        <w:t> </w:t>
      </w:r>
      <w:r>
        <w:rPr>
          <w:w w:val="105"/>
        </w:rPr>
        <w:t>this</w:t>
      </w:r>
      <w:r>
        <w:rPr>
          <w:spacing w:val="-3"/>
          <w:w w:val="105"/>
        </w:rPr>
        <w:t> </w:t>
      </w:r>
      <w:r>
        <w:rPr>
          <w:w w:val="105"/>
        </w:rPr>
        <w:t>widespread</w:t>
      </w:r>
      <w:r>
        <w:rPr>
          <w:spacing w:val="23"/>
          <w:w w:val="105"/>
        </w:rPr>
        <w:t> </w:t>
      </w:r>
      <w:r>
        <w:rPr>
          <w:w w:val="105"/>
        </w:rPr>
        <w:t>pain must be</w:t>
      </w:r>
      <w:r>
        <w:rPr>
          <w:spacing w:val="-4"/>
          <w:w w:val="105"/>
        </w:rPr>
        <w:t> </w:t>
      </w:r>
      <w:r>
        <w:rPr>
          <w:w w:val="105"/>
        </w:rPr>
        <w:t>experienced</w:t>
      </w:r>
      <w:r>
        <w:rPr>
          <w:spacing w:val="37"/>
          <w:w w:val="105"/>
        </w:rPr>
        <w:t> </w:t>
      </w:r>
      <w:r>
        <w:rPr>
          <w:w w:val="105"/>
        </w:rPr>
        <w:t>for a duration of</w:t>
      </w:r>
      <w:r>
        <w:rPr>
          <w:spacing w:val="-4"/>
          <w:w w:val="105"/>
        </w:rPr>
        <w:t> </w:t>
      </w:r>
      <w:r>
        <w:rPr>
          <w:w w:val="105"/>
        </w:rPr>
        <w:t>at least 3 months and</w:t>
      </w:r>
      <w:r>
        <w:rPr>
          <w:spacing w:val="22"/>
          <w:w w:val="105"/>
        </w:rPr>
        <w:t> </w:t>
      </w:r>
      <w:r>
        <w:rPr>
          <w:w w:val="105"/>
        </w:rPr>
        <w:t>in</w:t>
      </w:r>
      <w:r>
        <w:rPr>
          <w:spacing w:val="27"/>
          <w:w w:val="105"/>
        </w:rPr>
        <w:t> </w:t>
      </w:r>
      <w:r>
        <w:rPr>
          <w:w w:val="105"/>
        </w:rPr>
        <w:t>11 or more of</w:t>
      </w:r>
      <w:r>
        <w:rPr>
          <w:spacing w:val="-3"/>
          <w:w w:val="105"/>
        </w:rPr>
        <w:t> </w:t>
      </w:r>
      <w:r>
        <w:rPr>
          <w:w w:val="105"/>
        </w:rPr>
        <w:t>the 18</w:t>
      </w:r>
      <w:r>
        <w:rPr>
          <w:spacing w:val="-3"/>
          <w:w w:val="105"/>
        </w:rPr>
        <w:t> </w:t>
      </w:r>
      <w:r>
        <w:rPr>
          <w:w w:val="105"/>
        </w:rPr>
        <w:t>tender points in the body (Wolfe et al., 1990; see also Wolfe et al., 20</w:t>
      </w:r>
      <w:r>
        <w:rPr>
          <w:spacing w:val="-29"/>
          <w:w w:val="105"/>
        </w:rPr>
        <w:t> </w:t>
      </w:r>
      <w:r>
        <w:rPr>
          <w:w w:val="105"/>
        </w:rPr>
        <w:t>I</w:t>
      </w:r>
      <w:r>
        <w:rPr>
          <w:spacing w:val="-17"/>
          <w:w w:val="105"/>
        </w:rPr>
        <w:t> </w:t>
      </w:r>
      <w:r>
        <w:rPr>
          <w:w w:val="105"/>
        </w:rPr>
        <w:t>0).</w:t>
      </w:r>
    </w:p>
    <w:p>
      <w:pPr>
        <w:pStyle w:val="BodyText"/>
        <w:spacing w:line="491" w:lineRule="auto" w:before="4"/>
        <w:ind w:left="477" w:right="166" w:firstLine="700"/>
      </w:pPr>
      <w:r>
        <w:rPr>
          <w:w w:val="105"/>
        </w:rPr>
        <w:t>Fibromyalgia affects approximately 2% of the United States population. The diagnosis</w:t>
      </w:r>
      <w:r>
        <w:rPr>
          <w:spacing w:val="-4"/>
          <w:w w:val="105"/>
        </w:rPr>
        <w:t> </w:t>
      </w:r>
      <w:r>
        <w:rPr>
          <w:w w:val="105"/>
        </w:rPr>
        <w:t>of</w:t>
      </w:r>
      <w:r>
        <w:rPr>
          <w:spacing w:val="-3"/>
          <w:w w:val="105"/>
        </w:rPr>
        <w:t> </w:t>
      </w:r>
      <w:r>
        <w:rPr>
          <w:w w:val="105"/>
        </w:rPr>
        <w:t>FM is</w:t>
      </w:r>
      <w:r>
        <w:rPr>
          <w:spacing w:val="-6"/>
          <w:w w:val="105"/>
        </w:rPr>
        <w:t> </w:t>
      </w:r>
      <w:r>
        <w:rPr>
          <w:w w:val="105"/>
        </w:rPr>
        <w:t>found</w:t>
      </w:r>
      <w:r>
        <w:rPr>
          <w:w w:val="105"/>
        </w:rPr>
        <w:t> more</w:t>
      </w:r>
      <w:r>
        <w:rPr>
          <w:spacing w:val="-7"/>
          <w:w w:val="105"/>
        </w:rPr>
        <w:t> </w:t>
      </w:r>
      <w:r>
        <w:rPr>
          <w:w w:val="105"/>
        </w:rPr>
        <w:t>commonly</w:t>
      </w:r>
      <w:r>
        <w:rPr>
          <w:spacing w:val="21"/>
          <w:w w:val="105"/>
        </w:rPr>
        <w:t> </w:t>
      </w:r>
      <w:r>
        <w:rPr>
          <w:w w:val="105"/>
        </w:rPr>
        <w:t>in women compared</w:t>
      </w:r>
      <w:r>
        <w:rPr>
          <w:spacing w:val="20"/>
          <w:w w:val="105"/>
        </w:rPr>
        <w:t> </w:t>
      </w:r>
      <w:r>
        <w:rPr>
          <w:w w:val="105"/>
        </w:rPr>
        <w:t>to</w:t>
      </w:r>
      <w:r>
        <w:rPr>
          <w:spacing w:val="-4"/>
          <w:w w:val="105"/>
        </w:rPr>
        <w:t> </w:t>
      </w:r>
      <w:r>
        <w:rPr>
          <w:w w:val="105"/>
        </w:rPr>
        <w:t>men,</w:t>
      </w:r>
      <w:r>
        <w:rPr>
          <w:spacing w:val="-4"/>
          <w:w w:val="105"/>
        </w:rPr>
        <w:t> </w:t>
      </w:r>
      <w:r>
        <w:rPr>
          <w:w w:val="105"/>
        </w:rPr>
        <w:t>affecting 3.4%</w:t>
      </w:r>
      <w:r>
        <w:rPr>
          <w:spacing w:val="-15"/>
          <w:w w:val="105"/>
        </w:rPr>
        <w:t> </w:t>
      </w:r>
      <w:r>
        <w:rPr>
          <w:w w:val="105"/>
        </w:rPr>
        <w:t>of women and 0.5% of men, and peaking in women</w:t>
      </w:r>
      <w:r>
        <w:rPr>
          <w:spacing w:val="34"/>
          <w:w w:val="105"/>
        </w:rPr>
        <w:t> </w:t>
      </w:r>
      <w:r>
        <w:rPr>
          <w:w w:val="105"/>
        </w:rPr>
        <w:t>in the 70-79 year age group with maximum</w:t>
      </w:r>
      <w:r>
        <w:rPr>
          <w:spacing w:val="40"/>
          <w:w w:val="105"/>
        </w:rPr>
        <w:t> </w:t>
      </w:r>
      <w:r>
        <w:rPr>
          <w:w w:val="105"/>
        </w:rPr>
        <w:t>prevalence of7.4% (Wolfe, Ross, Anderson, Russell, &amp; Hebert, 1995).</w:t>
      </w:r>
    </w:p>
    <w:p>
      <w:pPr>
        <w:pStyle w:val="BodyText"/>
        <w:spacing w:line="494" w:lineRule="auto" w:before="6"/>
        <w:ind w:left="481" w:right="129" w:firstLine="698"/>
      </w:pPr>
      <w:r>
        <w:rPr>
          <w:w w:val="105"/>
        </w:rPr>
        <w:t>Along with the defining symptom</w:t>
      </w:r>
      <w:r>
        <w:rPr>
          <w:w w:val="105"/>
        </w:rPr>
        <w:t> of</w:t>
      </w:r>
      <w:r>
        <w:rPr>
          <w:spacing w:val="-7"/>
          <w:w w:val="105"/>
        </w:rPr>
        <w:t> </w:t>
      </w:r>
      <w:r>
        <w:rPr>
          <w:w w:val="105"/>
        </w:rPr>
        <w:t>chronic pain, persons with FM often experience other symptoms and comorbidities that include fatigue, irritable bowel syndrome, sleep disturbances,</w:t>
      </w:r>
      <w:r>
        <w:rPr>
          <w:spacing w:val="35"/>
          <w:w w:val="105"/>
        </w:rPr>
        <w:t> </w:t>
      </w:r>
      <w:r>
        <w:rPr>
          <w:w w:val="105"/>
        </w:rPr>
        <w:t>headaches,</w:t>
      </w:r>
      <w:r>
        <w:rPr>
          <w:spacing w:val="34"/>
          <w:w w:val="105"/>
        </w:rPr>
        <w:t> </w:t>
      </w:r>
      <w:r>
        <w:rPr>
          <w:w w:val="105"/>
        </w:rPr>
        <w:t>balance</w:t>
      </w:r>
      <w:r>
        <w:rPr>
          <w:spacing w:val="31"/>
          <w:w w:val="105"/>
        </w:rPr>
        <w:t> </w:t>
      </w:r>
      <w:r>
        <w:rPr>
          <w:w w:val="105"/>
        </w:rPr>
        <w:t>problems,</w:t>
      </w:r>
      <w:r>
        <w:rPr>
          <w:spacing w:val="28"/>
          <w:w w:val="105"/>
        </w:rPr>
        <w:t> </w:t>
      </w:r>
      <w:r>
        <w:rPr>
          <w:w w:val="105"/>
        </w:rPr>
        <w:t>and stiffness (Bennett,</w:t>
      </w:r>
      <w:r>
        <w:rPr>
          <w:w w:val="105"/>
        </w:rPr>
        <w:t> Jones, Turk, Russell, &amp; Matallana, 2007; Lawrence et al., 2008; Silverman,</w:t>
      </w:r>
      <w:r>
        <w:rPr>
          <w:w w:val="105"/>
        </w:rPr>
        <w:t> Hamett, Zlateva, &amp;</w:t>
      </w:r>
      <w:r>
        <w:rPr>
          <w:spacing w:val="-8"/>
          <w:w w:val="105"/>
        </w:rPr>
        <w:t> </w:t>
      </w:r>
      <w:r>
        <w:rPr>
          <w:w w:val="105"/>
        </w:rPr>
        <w:t>Mardekian, 201O; Wolfe</w:t>
      </w:r>
      <w:r>
        <w:rPr>
          <w:spacing w:val="-10"/>
          <w:w w:val="105"/>
        </w:rPr>
        <w:t> </w:t>
      </w:r>
      <w:r>
        <w:rPr>
          <w:w w:val="105"/>
        </w:rPr>
        <w:t>et</w:t>
      </w:r>
      <w:r>
        <w:rPr>
          <w:spacing w:val="-10"/>
          <w:w w:val="105"/>
        </w:rPr>
        <w:t> </w:t>
      </w:r>
      <w:r>
        <w:rPr>
          <w:w w:val="105"/>
        </w:rPr>
        <w:t>al.,</w:t>
      </w:r>
      <w:r>
        <w:rPr>
          <w:spacing w:val="-10"/>
          <w:w w:val="105"/>
        </w:rPr>
        <w:t> </w:t>
      </w:r>
      <w:r>
        <w:rPr>
          <w:w w:val="105"/>
        </w:rPr>
        <w:t>2010).</w:t>
      </w:r>
      <w:r>
        <w:rPr>
          <w:spacing w:val="-9"/>
          <w:w w:val="105"/>
        </w:rPr>
        <w:t> </w:t>
      </w:r>
      <w:r>
        <w:rPr>
          <w:w w:val="105"/>
        </w:rPr>
        <w:t>The</w:t>
      </w:r>
      <w:r>
        <w:rPr>
          <w:spacing w:val="-8"/>
          <w:w w:val="105"/>
        </w:rPr>
        <w:t> </w:t>
      </w:r>
      <w:r>
        <w:rPr>
          <w:w w:val="105"/>
        </w:rPr>
        <w:t>symptoms</w:t>
      </w:r>
      <w:r>
        <w:rPr>
          <w:spacing w:val="-2"/>
          <w:w w:val="105"/>
        </w:rPr>
        <w:t> </w:t>
      </w:r>
      <w:r>
        <w:rPr>
          <w:w w:val="105"/>
        </w:rPr>
        <w:t>that</w:t>
      </w:r>
      <w:r>
        <w:rPr>
          <w:spacing w:val="-1"/>
          <w:w w:val="105"/>
        </w:rPr>
        <w:t> </w:t>
      </w:r>
      <w:r>
        <w:rPr>
          <w:w w:val="105"/>
        </w:rPr>
        <w:t>have been identified to be the most characteristic of FM and experienced at the highest</w:t>
      </w:r>
      <w:r>
        <w:rPr>
          <w:spacing w:val="32"/>
          <w:w w:val="105"/>
        </w:rPr>
        <w:t> </w:t>
      </w:r>
      <w:r>
        <w:rPr>
          <w:w w:val="105"/>
        </w:rPr>
        <w:t>levels of severity as compared</w:t>
      </w:r>
      <w:r>
        <w:rPr>
          <w:w w:val="105"/>
        </w:rPr>
        <w:t> to other symptoms are sleep problems, fatigue, and morning stiffness, which affect approximately three-fourths of persons with</w:t>
      </w:r>
      <w:r>
        <w:rPr>
          <w:w w:val="105"/>
        </w:rPr>
        <w:t> FM</w:t>
      </w:r>
      <w:r>
        <w:rPr>
          <w:spacing w:val="-2"/>
          <w:w w:val="105"/>
        </w:rPr>
        <w:t> </w:t>
      </w:r>
      <w:r>
        <w:rPr>
          <w:w w:val="105"/>
        </w:rPr>
        <w:t>(Bennett et</w:t>
      </w:r>
      <w:r>
        <w:rPr>
          <w:spacing w:val="-4"/>
          <w:w w:val="105"/>
        </w:rPr>
        <w:t> </w:t>
      </w:r>
      <w:r>
        <w:rPr>
          <w:w w:val="105"/>
        </w:rPr>
        <w:t>al., 2007; Wolfe</w:t>
      </w:r>
      <w:r>
        <w:rPr>
          <w:spacing w:val="-4"/>
          <w:w w:val="105"/>
        </w:rPr>
        <w:t> </w:t>
      </w:r>
      <w:r>
        <w:rPr>
          <w:w w:val="105"/>
        </w:rPr>
        <w:t>et</w:t>
      </w:r>
      <w:r>
        <w:rPr>
          <w:spacing w:val="-4"/>
          <w:w w:val="105"/>
        </w:rPr>
        <w:t> </w:t>
      </w:r>
      <w:r>
        <w:rPr>
          <w:w w:val="105"/>
        </w:rPr>
        <w:t>al.,</w:t>
      </w:r>
    </w:p>
    <w:p>
      <w:pPr>
        <w:spacing w:after="0" w:line="494" w:lineRule="auto"/>
        <w:sectPr>
          <w:headerReference w:type="default" r:id="rId16"/>
          <w:pgSz w:w="12450" w:h="15730"/>
          <w:pgMar w:header="2995" w:footer="0" w:top="3220" w:bottom="280" w:left="1760" w:right="1740"/>
        </w:sectPr>
      </w:pPr>
    </w:p>
    <w:p>
      <w:pPr>
        <w:pStyle w:val="BodyText"/>
        <w:spacing w:line="491" w:lineRule="auto" w:before="81"/>
        <w:ind w:left="449" w:right="129"/>
      </w:pPr>
      <w:r>
        <w:rPr>
          <w:w w:val="105"/>
        </w:rPr>
        <w:t>1990). Additionally, there</w:t>
      </w:r>
      <w:r>
        <w:rPr>
          <w:spacing w:val="-1"/>
          <w:w w:val="105"/>
        </w:rPr>
        <w:t> </w:t>
      </w:r>
      <w:r>
        <w:rPr>
          <w:w w:val="105"/>
        </w:rPr>
        <w:t>are</w:t>
      </w:r>
      <w:r>
        <w:rPr>
          <w:spacing w:val="-4"/>
          <w:w w:val="105"/>
        </w:rPr>
        <w:t> </w:t>
      </w:r>
      <w:r>
        <w:rPr>
          <w:w w:val="105"/>
        </w:rPr>
        <w:t>some cognitive symptoms such as loss</w:t>
      </w:r>
      <w:r>
        <w:rPr>
          <w:spacing w:val="-6"/>
          <w:w w:val="105"/>
        </w:rPr>
        <w:t> </w:t>
      </w:r>
      <w:r>
        <w:rPr>
          <w:w w:val="105"/>
        </w:rPr>
        <w:t>of</w:t>
      </w:r>
      <w:r>
        <w:rPr>
          <w:spacing w:val="-9"/>
          <w:w w:val="105"/>
        </w:rPr>
        <w:t> </w:t>
      </w:r>
      <w:r>
        <w:rPr>
          <w:w w:val="105"/>
        </w:rPr>
        <w:t>concentration and memory loss (Bennett et al., 2007).</w:t>
      </w:r>
    </w:p>
    <w:p>
      <w:pPr>
        <w:pStyle w:val="BodyText"/>
        <w:spacing w:line="494" w:lineRule="auto" w:before="5"/>
        <w:ind w:left="438" w:right="166" w:firstLine="710"/>
      </w:pPr>
      <w:r>
        <w:rPr>
          <w:w w:val="105"/>
        </w:rPr>
        <w:t>Because FM presents with such a variety of</w:t>
      </w:r>
      <w:r>
        <w:rPr>
          <w:spacing w:val="-4"/>
          <w:w w:val="105"/>
        </w:rPr>
        <w:t> </w:t>
      </w:r>
      <w:r>
        <w:rPr>
          <w:w w:val="105"/>
        </w:rPr>
        <w:t>symptoms, ranging from physical to cognitive,</w:t>
      </w:r>
      <w:r>
        <w:rPr>
          <w:spacing w:val="28"/>
          <w:w w:val="105"/>
        </w:rPr>
        <w:t> </w:t>
      </w:r>
      <w:r>
        <w:rPr>
          <w:w w:val="105"/>
        </w:rPr>
        <w:t>it affects</w:t>
      </w:r>
      <w:r>
        <w:rPr>
          <w:spacing w:val="-1"/>
          <w:w w:val="105"/>
        </w:rPr>
        <w:t> </w:t>
      </w:r>
      <w:r>
        <w:rPr>
          <w:w w:val="105"/>
        </w:rPr>
        <w:t>the lives</w:t>
      </w:r>
      <w:r>
        <w:rPr>
          <w:spacing w:val="-6"/>
          <w:w w:val="105"/>
        </w:rPr>
        <w:t> </w:t>
      </w:r>
      <w:r>
        <w:rPr>
          <w:w w:val="105"/>
        </w:rPr>
        <w:t>of</w:t>
      </w:r>
      <w:r>
        <w:rPr>
          <w:spacing w:val="-9"/>
          <w:w w:val="105"/>
        </w:rPr>
        <w:t> </w:t>
      </w:r>
      <w:r>
        <w:rPr>
          <w:w w:val="105"/>
        </w:rPr>
        <w:t>those diagnosed</w:t>
      </w:r>
      <w:r>
        <w:rPr>
          <w:spacing w:val="28"/>
          <w:w w:val="105"/>
        </w:rPr>
        <w:t> </w:t>
      </w:r>
      <w:r>
        <w:rPr>
          <w:w w:val="105"/>
        </w:rPr>
        <w:t>with it across multiple areas</w:t>
      </w:r>
      <w:r>
        <w:rPr>
          <w:spacing w:val="-4"/>
          <w:w w:val="105"/>
        </w:rPr>
        <w:t> </w:t>
      </w:r>
      <w:r>
        <w:rPr>
          <w:w w:val="105"/>
        </w:rPr>
        <w:t>of life,</w:t>
      </w:r>
      <w:r>
        <w:rPr>
          <w:spacing w:val="-3"/>
          <w:w w:val="105"/>
        </w:rPr>
        <w:t> </w:t>
      </w:r>
      <w:r>
        <w:rPr>
          <w:w w:val="105"/>
        </w:rPr>
        <w:t>such as social, emotional, and occupational, affecting overall quality of life (Arnold et al.,</w:t>
      </w:r>
      <w:r>
        <w:rPr>
          <w:spacing w:val="40"/>
          <w:w w:val="105"/>
        </w:rPr>
        <w:t> </w:t>
      </w:r>
      <w:r>
        <w:rPr>
          <w:w w:val="105"/>
        </w:rPr>
        <w:t>2008; Bennett et al., 2007; Skjutar, Schult, Christensson, &amp; Mullersdorf, 2010). In fact, studies that compared</w:t>
      </w:r>
      <w:r>
        <w:rPr>
          <w:spacing w:val="32"/>
          <w:w w:val="105"/>
        </w:rPr>
        <w:t> </w:t>
      </w:r>
      <w:r>
        <w:rPr>
          <w:w w:val="105"/>
        </w:rPr>
        <w:t>people diagnosed</w:t>
      </w:r>
      <w:r>
        <w:rPr>
          <w:spacing w:val="29"/>
          <w:w w:val="105"/>
        </w:rPr>
        <w:t> </w:t>
      </w:r>
      <w:r>
        <w:rPr>
          <w:w w:val="105"/>
        </w:rPr>
        <w:t>with FM to</w:t>
      </w:r>
      <w:r>
        <w:rPr>
          <w:spacing w:val="-6"/>
          <w:w w:val="105"/>
        </w:rPr>
        <w:t> </w:t>
      </w:r>
      <w:r>
        <w:rPr>
          <w:w w:val="105"/>
        </w:rPr>
        <w:t>others without the</w:t>
      </w:r>
      <w:r>
        <w:rPr>
          <w:spacing w:val="-6"/>
          <w:w w:val="105"/>
        </w:rPr>
        <w:t> </w:t>
      </w:r>
      <w:r>
        <w:rPr>
          <w:w w:val="105"/>
        </w:rPr>
        <w:t>diagnosis, as</w:t>
      </w:r>
      <w:r>
        <w:rPr>
          <w:spacing w:val="-1"/>
          <w:w w:val="105"/>
        </w:rPr>
        <w:t> </w:t>
      </w:r>
      <w:r>
        <w:rPr>
          <w:w w:val="105"/>
        </w:rPr>
        <w:t>well as</w:t>
      </w:r>
      <w:r>
        <w:rPr>
          <w:spacing w:val="-4"/>
          <w:w w:val="105"/>
        </w:rPr>
        <w:t> </w:t>
      </w:r>
      <w:r>
        <w:rPr>
          <w:w w:val="105"/>
        </w:rPr>
        <w:t>to those with other chronic pain conditions, found that persons with</w:t>
      </w:r>
      <w:r>
        <w:rPr>
          <w:w w:val="105"/>
        </w:rPr>
        <w:t> FM had significantly</w:t>
      </w:r>
      <w:r>
        <w:rPr>
          <w:w w:val="105"/>
        </w:rPr>
        <w:t> lower quality of life compared</w:t>
      </w:r>
      <w:r>
        <w:rPr>
          <w:w w:val="105"/>
        </w:rPr>
        <w:t> to other groups, including those diagnosed with rheumatoid arthritis (RA) (Bernard, Prince, &amp; Edsall, 2000; Verbunt, Pernot, &amp; Smeets, 2008). While limitations in daily</w:t>
      </w:r>
      <w:r>
        <w:rPr>
          <w:spacing w:val="-6"/>
          <w:w w:val="105"/>
        </w:rPr>
        <w:t> </w:t>
      </w:r>
      <w:r>
        <w:rPr>
          <w:w w:val="105"/>
        </w:rPr>
        <w:t>activities lead to</w:t>
      </w:r>
      <w:r>
        <w:rPr>
          <w:spacing w:val="-8"/>
          <w:w w:val="105"/>
        </w:rPr>
        <w:t> </w:t>
      </w:r>
      <w:r>
        <w:rPr>
          <w:w w:val="105"/>
        </w:rPr>
        <w:t>a</w:t>
      </w:r>
      <w:r>
        <w:rPr>
          <w:spacing w:val="-6"/>
          <w:w w:val="105"/>
        </w:rPr>
        <w:t> </w:t>
      </w:r>
      <w:r>
        <w:rPr>
          <w:w w:val="105"/>
        </w:rPr>
        <w:t>decrease in</w:t>
      </w:r>
      <w:r>
        <w:rPr>
          <w:spacing w:val="-1"/>
          <w:w w:val="105"/>
        </w:rPr>
        <w:t> </w:t>
      </w:r>
      <w:r>
        <w:rPr>
          <w:w w:val="105"/>
        </w:rPr>
        <w:t>quality</w:t>
      </w:r>
      <w:r>
        <w:rPr>
          <w:spacing w:val="-6"/>
          <w:w w:val="105"/>
        </w:rPr>
        <w:t> </w:t>
      </w:r>
      <w:r>
        <w:rPr>
          <w:w w:val="105"/>
        </w:rPr>
        <w:t>of life for people experiencing</w:t>
      </w:r>
      <w:r>
        <w:rPr>
          <w:spacing w:val="35"/>
          <w:w w:val="105"/>
        </w:rPr>
        <w:t> </w:t>
      </w:r>
      <w:r>
        <w:rPr>
          <w:w w:val="105"/>
        </w:rPr>
        <w:t>FM symptoms, they might also lead to</w:t>
      </w:r>
      <w:r>
        <w:rPr>
          <w:spacing w:val="-4"/>
          <w:w w:val="105"/>
        </w:rPr>
        <w:t> </w:t>
      </w:r>
      <w:r>
        <w:rPr>
          <w:w w:val="105"/>
        </w:rPr>
        <w:t>a state of depression.</w:t>
      </w:r>
    </w:p>
    <w:p>
      <w:pPr>
        <w:pStyle w:val="BodyText"/>
        <w:spacing w:line="491" w:lineRule="auto" w:before="3"/>
        <w:ind w:left="450" w:right="166" w:hanging="7"/>
      </w:pPr>
      <w:r>
        <w:rPr>
          <w:w w:val="105"/>
        </w:rPr>
        <w:t>Consequently, depression could</w:t>
      </w:r>
      <w:r>
        <w:rPr>
          <w:w w:val="105"/>
        </w:rPr>
        <w:t> lead</w:t>
      </w:r>
      <w:r>
        <w:rPr>
          <w:spacing w:val="-1"/>
          <w:w w:val="105"/>
        </w:rPr>
        <w:t> </w:t>
      </w:r>
      <w:r>
        <w:rPr>
          <w:w w:val="105"/>
        </w:rPr>
        <w:t>to even greater</w:t>
      </w:r>
      <w:r>
        <w:rPr>
          <w:spacing w:val="-5"/>
          <w:w w:val="105"/>
        </w:rPr>
        <w:t> </w:t>
      </w:r>
      <w:r>
        <w:rPr>
          <w:w w:val="105"/>
        </w:rPr>
        <w:t>escape</w:t>
      </w:r>
      <w:r>
        <w:rPr>
          <w:spacing w:val="-7"/>
          <w:w w:val="105"/>
        </w:rPr>
        <w:t> </w:t>
      </w:r>
      <w:r>
        <w:rPr>
          <w:w w:val="105"/>
        </w:rPr>
        <w:t>from everyday activities, which could cause an even greater state of depression (Bernard</w:t>
      </w:r>
      <w:r>
        <w:rPr>
          <w:w w:val="105"/>
        </w:rPr>
        <w:t> et al., 2000).</w:t>
      </w:r>
    </w:p>
    <w:p>
      <w:pPr>
        <w:pStyle w:val="BodyText"/>
        <w:spacing w:before="6"/>
        <w:ind w:left="750" w:right="445"/>
        <w:jc w:val="center"/>
      </w:pPr>
      <w:r>
        <w:rPr>
          <w:w w:val="105"/>
          <w:u w:val="thick"/>
        </w:rPr>
        <w:t>Leisure</w:t>
      </w:r>
      <w:r>
        <w:rPr>
          <w:spacing w:val="-1"/>
          <w:w w:val="105"/>
          <w:u w:val="thick"/>
        </w:rPr>
        <w:t> </w:t>
      </w:r>
      <w:r>
        <w:rPr>
          <w:w w:val="105"/>
          <w:u w:val="thick"/>
        </w:rPr>
        <w:t>and Chronic</w:t>
      </w:r>
      <w:r>
        <w:rPr>
          <w:spacing w:val="10"/>
          <w:w w:val="105"/>
          <w:u w:val="thick"/>
        </w:rPr>
        <w:t> </w:t>
      </w:r>
      <w:r>
        <w:rPr>
          <w:spacing w:val="-4"/>
          <w:w w:val="105"/>
          <w:u w:val="thick"/>
        </w:rPr>
        <w:t>Pain</w:t>
      </w:r>
    </w:p>
    <w:p>
      <w:pPr>
        <w:pStyle w:val="BodyText"/>
        <w:spacing w:before="13"/>
      </w:pPr>
    </w:p>
    <w:p>
      <w:pPr>
        <w:pStyle w:val="BodyText"/>
        <w:spacing w:line="494" w:lineRule="auto"/>
        <w:ind w:left="438" w:right="166" w:firstLine="698"/>
      </w:pPr>
      <w:r>
        <w:rPr>
          <w:w w:val="105"/>
        </w:rPr>
        <w:t>The hallmark symptom of fibromyalgia, chronic widespread</w:t>
      </w:r>
      <w:r>
        <w:rPr>
          <w:w w:val="105"/>
        </w:rPr>
        <w:t> pain, has multiple negative effects influencing the lives of those</w:t>
      </w:r>
      <w:r>
        <w:rPr>
          <w:spacing w:val="-6"/>
          <w:w w:val="105"/>
        </w:rPr>
        <w:t> </w:t>
      </w:r>
      <w:r>
        <w:rPr>
          <w:w w:val="105"/>
        </w:rPr>
        <w:t>diagnosed</w:t>
      </w:r>
      <w:r>
        <w:rPr>
          <w:spacing w:val="33"/>
          <w:w w:val="105"/>
        </w:rPr>
        <w:t> </w:t>
      </w:r>
      <w:r>
        <w:rPr>
          <w:w w:val="105"/>
        </w:rPr>
        <w:t>with the disorder. Chronic</w:t>
      </w:r>
      <w:r>
        <w:rPr>
          <w:spacing w:val="32"/>
          <w:w w:val="105"/>
        </w:rPr>
        <w:t> </w:t>
      </w:r>
      <w:r>
        <w:rPr>
          <w:w w:val="105"/>
        </w:rPr>
        <w:t>pain limits</w:t>
      </w:r>
      <w:r>
        <w:rPr>
          <w:spacing w:val="-11"/>
          <w:w w:val="105"/>
        </w:rPr>
        <w:t> </w:t>
      </w:r>
      <w:r>
        <w:rPr>
          <w:w w:val="105"/>
        </w:rPr>
        <w:t>everyday activities</w:t>
      </w:r>
      <w:r>
        <w:rPr>
          <w:spacing w:val="-4"/>
          <w:w w:val="105"/>
        </w:rPr>
        <w:t> </w:t>
      </w:r>
      <w:r>
        <w:rPr>
          <w:w w:val="105"/>
        </w:rPr>
        <w:t>(Jones, Rutledge, &amp;</w:t>
      </w:r>
      <w:r>
        <w:rPr>
          <w:spacing w:val="-3"/>
          <w:w w:val="105"/>
        </w:rPr>
        <w:t> </w:t>
      </w:r>
      <w:r>
        <w:rPr>
          <w:w w:val="105"/>
        </w:rPr>
        <w:t>Aquino, 2010), which makes it</w:t>
      </w:r>
      <w:r>
        <w:rPr>
          <w:spacing w:val="-7"/>
          <w:w w:val="105"/>
        </w:rPr>
        <w:t> </w:t>
      </w:r>
      <w:r>
        <w:rPr>
          <w:w w:val="105"/>
        </w:rPr>
        <w:t>difficult for those diagnosed</w:t>
      </w:r>
      <w:r>
        <w:rPr>
          <w:w w:val="105"/>
        </w:rPr>
        <w:t> with FM to lead fulfilled</w:t>
      </w:r>
      <w:r>
        <w:rPr>
          <w:w w:val="105"/>
        </w:rPr>
        <w:t> lives. As noted in</w:t>
      </w:r>
      <w:r>
        <w:rPr>
          <w:spacing w:val="-6"/>
          <w:w w:val="105"/>
        </w:rPr>
        <w:t> </w:t>
      </w:r>
      <w:r>
        <w:rPr>
          <w:w w:val="105"/>
        </w:rPr>
        <w:t>a case</w:t>
      </w:r>
      <w:r>
        <w:rPr>
          <w:spacing w:val="-1"/>
          <w:w w:val="105"/>
        </w:rPr>
        <w:t> </w:t>
      </w:r>
      <w:r>
        <w:rPr>
          <w:w w:val="105"/>
        </w:rPr>
        <w:t>study of</w:t>
      </w:r>
      <w:r>
        <w:rPr>
          <w:spacing w:val="-4"/>
          <w:w w:val="105"/>
        </w:rPr>
        <w:t> </w:t>
      </w:r>
      <w:r>
        <w:rPr>
          <w:w w:val="105"/>
        </w:rPr>
        <w:t>an individual diagnosed</w:t>
      </w:r>
      <w:r>
        <w:rPr>
          <w:w w:val="105"/>
        </w:rPr>
        <w:t> with FM (Turk, Vierck, Scarbrough, Crofford, &amp; Rudin, 2008), chronic pain might lead to</w:t>
      </w:r>
      <w:r>
        <w:rPr>
          <w:spacing w:val="-4"/>
          <w:w w:val="105"/>
        </w:rPr>
        <w:t> </w:t>
      </w:r>
      <w:r>
        <w:rPr>
          <w:w w:val="105"/>
        </w:rPr>
        <w:t>a person</w:t>
      </w:r>
      <w:r>
        <w:rPr>
          <w:w w:val="105"/>
        </w:rPr>
        <w:t> becoming inactive and passive in his</w:t>
      </w:r>
      <w:r>
        <w:rPr>
          <w:spacing w:val="-3"/>
          <w:w w:val="105"/>
        </w:rPr>
        <w:t> </w:t>
      </w:r>
      <w:r>
        <w:rPr>
          <w:w w:val="105"/>
        </w:rPr>
        <w:t>or her</w:t>
      </w:r>
      <w:r>
        <w:rPr>
          <w:spacing w:val="-7"/>
          <w:w w:val="105"/>
        </w:rPr>
        <w:t> </w:t>
      </w:r>
      <w:r>
        <w:rPr>
          <w:w w:val="105"/>
        </w:rPr>
        <w:t>everyday activities because</w:t>
      </w:r>
      <w:r>
        <w:rPr>
          <w:spacing w:val="19"/>
          <w:w w:val="105"/>
        </w:rPr>
        <w:t> </w:t>
      </w:r>
      <w:r>
        <w:rPr>
          <w:w w:val="105"/>
        </w:rPr>
        <w:t>participation</w:t>
      </w:r>
      <w:r>
        <w:rPr>
          <w:spacing w:val="38"/>
          <w:w w:val="105"/>
        </w:rPr>
        <w:t> </w:t>
      </w:r>
      <w:r>
        <w:rPr>
          <w:w w:val="105"/>
        </w:rPr>
        <w:t>in such activities</w:t>
      </w:r>
      <w:r>
        <w:rPr>
          <w:spacing w:val="18"/>
          <w:w w:val="105"/>
        </w:rPr>
        <w:t> </w:t>
      </w:r>
      <w:r>
        <w:rPr>
          <w:w w:val="105"/>
        </w:rPr>
        <w:t>leads</w:t>
      </w:r>
      <w:r>
        <w:rPr>
          <w:spacing w:val="-1"/>
          <w:w w:val="105"/>
        </w:rPr>
        <w:t> </w:t>
      </w:r>
      <w:r>
        <w:rPr>
          <w:w w:val="105"/>
        </w:rPr>
        <w:t>to an increase in the level of pain (Turk et al., 2008). These everyday activities could</w:t>
      </w:r>
      <w:r>
        <w:rPr>
          <w:w w:val="105"/>
        </w:rPr>
        <w:t> include performing chores around the house,</w:t>
      </w:r>
    </w:p>
    <w:p>
      <w:pPr>
        <w:spacing w:after="0" w:line="494" w:lineRule="auto"/>
        <w:sectPr>
          <w:headerReference w:type="default" r:id="rId17"/>
          <w:pgSz w:w="12450" w:h="15720"/>
          <w:pgMar w:header="1020" w:footer="0" w:top="1600" w:bottom="280" w:left="1760" w:right="1740"/>
          <w:pgNumType w:start="2"/>
        </w:sectPr>
      </w:pPr>
    </w:p>
    <w:p>
      <w:pPr>
        <w:pStyle w:val="BodyText"/>
        <w:spacing w:line="494" w:lineRule="auto" w:before="90"/>
        <w:ind w:left="493" w:right="210" w:firstLine="8"/>
      </w:pPr>
      <w:r>
        <w:rPr>
          <w:w w:val="105"/>
        </w:rPr>
        <w:t>taking care of children or other relatives, or even basic recreational activities. Participation</w:t>
      </w:r>
      <w:r>
        <w:rPr>
          <w:spacing w:val="19"/>
          <w:w w:val="105"/>
        </w:rPr>
        <w:t> </w:t>
      </w:r>
      <w:r>
        <w:rPr>
          <w:w w:val="105"/>
        </w:rPr>
        <w:t>in these recreational or leisure</w:t>
      </w:r>
      <w:r>
        <w:rPr>
          <w:spacing w:val="-8"/>
          <w:w w:val="105"/>
        </w:rPr>
        <w:t> </w:t>
      </w:r>
      <w:r>
        <w:rPr>
          <w:w w:val="105"/>
        </w:rPr>
        <w:t>activities is</w:t>
      </w:r>
      <w:r>
        <w:rPr>
          <w:spacing w:val="-10"/>
          <w:w w:val="105"/>
        </w:rPr>
        <w:t> </w:t>
      </w:r>
      <w:r>
        <w:rPr>
          <w:w w:val="105"/>
        </w:rPr>
        <w:t>the main focus in the</w:t>
      </w:r>
      <w:r>
        <w:rPr>
          <w:spacing w:val="-7"/>
          <w:w w:val="105"/>
        </w:rPr>
        <w:t> </w:t>
      </w:r>
      <w:r>
        <w:rPr>
          <w:w w:val="105"/>
        </w:rPr>
        <w:t>current </w:t>
      </w:r>
      <w:r>
        <w:rPr>
          <w:spacing w:val="-2"/>
          <w:w w:val="105"/>
        </w:rPr>
        <w:t>study.</w:t>
      </w:r>
    </w:p>
    <w:p>
      <w:pPr>
        <w:pStyle w:val="BodyText"/>
        <w:spacing w:before="8"/>
        <w:ind w:left="3116"/>
      </w:pPr>
      <w:r>
        <w:rPr>
          <w:w w:val="105"/>
          <w:u w:val="thick"/>
        </w:rPr>
        <w:t>General</w:t>
      </w:r>
      <w:r>
        <w:rPr>
          <w:spacing w:val="16"/>
          <w:w w:val="105"/>
          <w:u w:val="thick"/>
        </w:rPr>
        <w:t> </w:t>
      </w:r>
      <w:r>
        <w:rPr>
          <w:w w:val="105"/>
          <w:u w:val="thick"/>
        </w:rPr>
        <w:t>Benefits</w:t>
      </w:r>
      <w:r>
        <w:rPr>
          <w:spacing w:val="-1"/>
          <w:w w:val="105"/>
          <w:u w:val="thick"/>
        </w:rPr>
        <w:t> </w:t>
      </w:r>
      <w:r>
        <w:rPr>
          <w:w w:val="105"/>
          <w:u w:val="thick"/>
        </w:rPr>
        <w:t>of</w:t>
      </w:r>
      <w:r>
        <w:rPr>
          <w:spacing w:val="-3"/>
          <w:w w:val="105"/>
          <w:u w:val="thick"/>
        </w:rPr>
        <w:t> </w:t>
      </w:r>
      <w:r>
        <w:rPr>
          <w:w w:val="105"/>
          <w:u w:val="thick"/>
        </w:rPr>
        <w:t>Leisure</w:t>
      </w:r>
      <w:r>
        <w:rPr>
          <w:spacing w:val="3"/>
          <w:w w:val="105"/>
          <w:u w:val="thick"/>
        </w:rPr>
        <w:t> </w:t>
      </w:r>
      <w:r>
        <w:rPr>
          <w:spacing w:val="-2"/>
          <w:w w:val="105"/>
          <w:u w:val="thick"/>
        </w:rPr>
        <w:t>Activities</w:t>
      </w:r>
    </w:p>
    <w:p>
      <w:pPr>
        <w:pStyle w:val="BodyText"/>
        <w:spacing w:before="18"/>
      </w:pPr>
    </w:p>
    <w:p>
      <w:pPr>
        <w:pStyle w:val="BodyText"/>
        <w:spacing w:line="494" w:lineRule="auto"/>
        <w:ind w:left="490" w:right="155" w:firstLine="711"/>
      </w:pPr>
      <w:r>
        <w:rPr>
          <w:w w:val="105"/>
        </w:rPr>
        <w:t>Leisure activities are intrinsically meaningful</w:t>
      </w:r>
      <w:r>
        <w:rPr>
          <w:w w:val="105"/>
        </w:rPr>
        <w:t> activities that individuals freely choose when</w:t>
      </w:r>
      <w:r>
        <w:rPr>
          <w:w w:val="105"/>
        </w:rPr>
        <w:t> unoccupied</w:t>
      </w:r>
      <w:r>
        <w:rPr>
          <w:spacing w:val="40"/>
          <w:w w:val="105"/>
        </w:rPr>
        <w:t> </w:t>
      </w:r>
      <w:r>
        <w:rPr>
          <w:w w:val="105"/>
        </w:rPr>
        <w:t>by</w:t>
      </w:r>
      <w:r>
        <w:rPr>
          <w:spacing w:val="-2"/>
          <w:w w:val="105"/>
        </w:rPr>
        <w:t> </w:t>
      </w:r>
      <w:r>
        <w:rPr>
          <w:w w:val="105"/>
        </w:rPr>
        <w:t>other obligations (Rogers, Hawkins, &amp; Eklund, 1998; Soderback,</w:t>
      </w:r>
      <w:r>
        <w:rPr>
          <w:spacing w:val="38"/>
          <w:w w:val="105"/>
        </w:rPr>
        <w:t> </w:t>
      </w:r>
      <w:r>
        <w:rPr>
          <w:w w:val="105"/>
        </w:rPr>
        <w:t>1999).</w:t>
      </w:r>
      <w:r>
        <w:rPr>
          <w:spacing w:val="-1"/>
          <w:w w:val="105"/>
        </w:rPr>
        <w:t> </w:t>
      </w:r>
      <w:r>
        <w:rPr>
          <w:w w:val="105"/>
        </w:rPr>
        <w:t>These may or may not include activities focused on improving or maintaining proper</w:t>
      </w:r>
      <w:r>
        <w:rPr>
          <w:w w:val="105"/>
        </w:rPr>
        <w:t> physical or mental health, engaging in social</w:t>
      </w:r>
      <w:r>
        <w:rPr>
          <w:w w:val="105"/>
        </w:rPr>
        <w:t> relationships,</w:t>
      </w:r>
      <w:r>
        <w:rPr>
          <w:spacing w:val="-6"/>
          <w:w w:val="105"/>
        </w:rPr>
        <w:t> </w:t>
      </w:r>
      <w:r>
        <w:rPr>
          <w:w w:val="105"/>
        </w:rPr>
        <w:t>and</w:t>
      </w:r>
      <w:r>
        <w:rPr>
          <w:spacing w:val="40"/>
          <w:w w:val="105"/>
        </w:rPr>
        <w:t> </w:t>
      </w:r>
      <w:r>
        <w:rPr>
          <w:w w:val="105"/>
        </w:rPr>
        <w:t>learning</w:t>
      </w:r>
      <w:r>
        <w:rPr>
          <w:spacing w:val="24"/>
          <w:w w:val="105"/>
        </w:rPr>
        <w:t> </w:t>
      </w:r>
      <w:r>
        <w:rPr>
          <w:w w:val="105"/>
        </w:rPr>
        <w:t>new</w:t>
      </w:r>
      <w:r>
        <w:rPr>
          <w:spacing w:val="15"/>
          <w:w w:val="105"/>
        </w:rPr>
        <w:t> </w:t>
      </w:r>
      <w:r>
        <w:rPr>
          <w:w w:val="105"/>
        </w:rPr>
        <w:t>skills or advancing</w:t>
      </w:r>
      <w:r>
        <w:rPr>
          <w:spacing w:val="28"/>
          <w:w w:val="105"/>
        </w:rPr>
        <w:t> </w:t>
      </w:r>
      <w:r>
        <w:rPr>
          <w:w w:val="105"/>
        </w:rPr>
        <w:t>in</w:t>
      </w:r>
      <w:r>
        <w:rPr>
          <w:spacing w:val="21"/>
          <w:w w:val="105"/>
        </w:rPr>
        <w:t> </w:t>
      </w:r>
      <w:r>
        <w:rPr>
          <w:w w:val="105"/>
        </w:rPr>
        <w:t>already existing ones (Pressman</w:t>
      </w:r>
      <w:r>
        <w:rPr>
          <w:spacing w:val="35"/>
          <w:w w:val="105"/>
        </w:rPr>
        <w:t> </w:t>
      </w:r>
      <w:r>
        <w:rPr>
          <w:w w:val="105"/>
        </w:rPr>
        <w:t>et al., 2009;</w:t>
      </w:r>
      <w:r>
        <w:rPr>
          <w:spacing w:val="19"/>
          <w:w w:val="105"/>
        </w:rPr>
        <w:t> </w:t>
      </w:r>
      <w:r>
        <w:rPr>
          <w:w w:val="105"/>
        </w:rPr>
        <w:t>Rogers</w:t>
      </w:r>
      <w:r>
        <w:rPr>
          <w:w w:val="105"/>
        </w:rPr>
        <w:t> et al., I</w:t>
      </w:r>
      <w:r>
        <w:rPr>
          <w:spacing w:val="-18"/>
          <w:w w:val="105"/>
        </w:rPr>
        <w:t> </w:t>
      </w:r>
      <w:r>
        <w:rPr>
          <w:w w:val="105"/>
        </w:rPr>
        <w:t>998; Soderback,</w:t>
      </w:r>
      <w:r>
        <w:rPr>
          <w:w w:val="105"/>
        </w:rPr>
        <w:t> 1999). Leisure time physical activity includes exercising, participating in sports, and any other recreational</w:t>
      </w:r>
      <w:r>
        <w:rPr>
          <w:w w:val="105"/>
        </w:rPr>
        <w:t> activities that entail a physical activity component</w:t>
      </w:r>
      <w:r>
        <w:rPr>
          <w:spacing w:val="37"/>
          <w:w w:val="105"/>
        </w:rPr>
        <w:t> </w:t>
      </w:r>
      <w:r>
        <w:rPr>
          <w:w w:val="105"/>
        </w:rPr>
        <w:t>not related</w:t>
      </w:r>
      <w:r>
        <w:rPr>
          <w:spacing w:val="23"/>
          <w:w w:val="105"/>
        </w:rPr>
        <w:t> </w:t>
      </w:r>
      <w:r>
        <w:rPr>
          <w:w w:val="105"/>
        </w:rPr>
        <w:t>to job</w:t>
      </w:r>
      <w:r>
        <w:rPr>
          <w:spacing w:val="-6"/>
          <w:w w:val="105"/>
        </w:rPr>
        <w:t> </w:t>
      </w:r>
      <w:r>
        <w:rPr>
          <w:w w:val="105"/>
        </w:rPr>
        <w:t>duties (Ashe,</w:t>
      </w:r>
      <w:r>
        <w:rPr>
          <w:spacing w:val="20"/>
          <w:w w:val="105"/>
        </w:rPr>
        <w:t> </w:t>
      </w:r>
      <w:r>
        <w:rPr>
          <w:w w:val="105"/>
        </w:rPr>
        <w:t>Miller,</w:t>
      </w:r>
      <w:r>
        <w:rPr>
          <w:spacing w:val="21"/>
          <w:w w:val="105"/>
        </w:rPr>
        <w:t> </w:t>
      </w:r>
      <w:r>
        <w:rPr>
          <w:w w:val="105"/>
        </w:rPr>
        <w:t>Eng, &amp; Noreau,</w:t>
      </w:r>
      <w:r>
        <w:rPr>
          <w:spacing w:val="21"/>
          <w:w w:val="105"/>
        </w:rPr>
        <w:t> </w:t>
      </w:r>
      <w:r>
        <w:rPr>
          <w:w w:val="105"/>
        </w:rPr>
        <w:t>2009;</w:t>
      </w:r>
      <w:r>
        <w:rPr>
          <w:spacing w:val="21"/>
          <w:w w:val="105"/>
        </w:rPr>
        <w:t> </w:t>
      </w:r>
      <w:r>
        <w:rPr>
          <w:w w:val="105"/>
        </w:rPr>
        <w:t>Lin, Huang, Yeh, &amp; Tai, 2009). Other leisure activities may lack a physical activity component, but have intrinsic value and create a pleasure element; these activities include traveling, hobbies, socializing, and watching television (Pressman et al., 2009). The current investigation</w:t>
      </w:r>
      <w:r>
        <w:rPr>
          <w:spacing w:val="20"/>
          <w:w w:val="105"/>
        </w:rPr>
        <w:t> </w:t>
      </w:r>
      <w:r>
        <w:rPr>
          <w:w w:val="105"/>
        </w:rPr>
        <w:t>will be</w:t>
      </w:r>
      <w:r>
        <w:rPr>
          <w:spacing w:val="-8"/>
          <w:w w:val="105"/>
        </w:rPr>
        <w:t> </w:t>
      </w:r>
      <w:r>
        <w:rPr>
          <w:w w:val="105"/>
        </w:rPr>
        <w:t>directed toward</w:t>
      </w:r>
      <w:r>
        <w:rPr>
          <w:w w:val="105"/>
        </w:rPr>
        <w:t> leisure</w:t>
      </w:r>
      <w:r>
        <w:rPr>
          <w:spacing w:val="-4"/>
          <w:w w:val="105"/>
        </w:rPr>
        <w:t> </w:t>
      </w:r>
      <w:r>
        <w:rPr>
          <w:w w:val="105"/>
        </w:rPr>
        <w:t>activities that include both types</w:t>
      </w:r>
      <w:r>
        <w:rPr>
          <w:spacing w:val="-11"/>
          <w:w w:val="105"/>
        </w:rPr>
        <w:t> </w:t>
      </w:r>
      <w:r>
        <w:rPr>
          <w:w w:val="105"/>
        </w:rPr>
        <w:t>of</w:t>
      </w:r>
      <w:r>
        <w:rPr>
          <w:spacing w:val="-12"/>
          <w:w w:val="105"/>
        </w:rPr>
        <w:t> </w:t>
      </w:r>
      <w:r>
        <w:rPr>
          <w:w w:val="105"/>
        </w:rPr>
        <w:t>activities, those with or without a physical component.</w:t>
      </w:r>
    </w:p>
    <w:p>
      <w:pPr>
        <w:pStyle w:val="BodyText"/>
        <w:spacing w:line="494" w:lineRule="auto" w:before="11"/>
        <w:ind w:left="504" w:right="193" w:firstLine="698"/>
      </w:pPr>
      <w:r>
        <w:rPr>
          <w:w w:val="105"/>
        </w:rPr>
        <w:t>Many research studies have evaluated</w:t>
      </w:r>
      <w:r>
        <w:rPr>
          <w:spacing w:val="33"/>
          <w:w w:val="105"/>
        </w:rPr>
        <w:t> </w:t>
      </w:r>
      <w:r>
        <w:rPr>
          <w:w w:val="105"/>
        </w:rPr>
        <w:t>the effects of leisure activities. The majority focus on leisure time physical activities (Ashe et al., 2009, Lin et al., 201</w:t>
      </w:r>
      <w:r>
        <w:rPr>
          <w:spacing w:val="-15"/>
          <w:w w:val="105"/>
        </w:rPr>
        <w:t> </w:t>
      </w:r>
      <w:r>
        <w:rPr>
          <w:w w:val="105"/>
        </w:rPr>
        <w:t>I, Natvig, Bruusgaard, &amp; Eriksen,</w:t>
      </w:r>
      <w:r>
        <w:rPr>
          <w:spacing w:val="21"/>
          <w:w w:val="105"/>
        </w:rPr>
        <w:t> </w:t>
      </w:r>
      <w:r>
        <w:rPr>
          <w:w w:val="105"/>
        </w:rPr>
        <w:t>I</w:t>
      </w:r>
      <w:r>
        <w:rPr>
          <w:spacing w:val="-25"/>
          <w:w w:val="105"/>
        </w:rPr>
        <w:t> </w:t>
      </w:r>
      <w:r>
        <w:rPr>
          <w:w w:val="105"/>
        </w:rPr>
        <w:t>998). Findings in persons with FM support leisure time physical</w:t>
      </w:r>
      <w:r>
        <w:rPr>
          <w:w w:val="105"/>
        </w:rPr>
        <w:t> activities</w:t>
      </w:r>
      <w:r>
        <w:rPr>
          <w:spacing w:val="-10"/>
          <w:w w:val="105"/>
        </w:rPr>
        <w:t> </w:t>
      </w:r>
      <w:r>
        <w:rPr>
          <w:w w:val="105"/>
        </w:rPr>
        <w:t>as</w:t>
      </w:r>
      <w:r>
        <w:rPr>
          <w:spacing w:val="-7"/>
          <w:w w:val="105"/>
        </w:rPr>
        <w:t> </w:t>
      </w:r>
      <w:r>
        <w:rPr>
          <w:w w:val="105"/>
        </w:rPr>
        <w:t>having</w:t>
      </w:r>
      <w:r>
        <w:rPr>
          <w:spacing w:val="-3"/>
          <w:w w:val="105"/>
        </w:rPr>
        <w:t> </w:t>
      </w:r>
      <w:r>
        <w:rPr>
          <w:w w:val="105"/>
        </w:rPr>
        <w:t>physical</w:t>
      </w:r>
      <w:r>
        <w:rPr>
          <w:w w:val="105"/>
        </w:rPr>
        <w:t> health</w:t>
      </w:r>
      <w:r>
        <w:rPr>
          <w:w w:val="105"/>
        </w:rPr>
        <w:t> benefits, and leading to</w:t>
      </w:r>
      <w:r>
        <w:rPr>
          <w:spacing w:val="-9"/>
          <w:w w:val="105"/>
        </w:rPr>
        <w:t> </w:t>
      </w:r>
      <w:r>
        <w:rPr>
          <w:w w:val="105"/>
        </w:rPr>
        <w:t>diminished symptom intensity, including chronic pain, and</w:t>
      </w:r>
      <w:r>
        <w:rPr>
          <w:w w:val="105"/>
        </w:rPr>
        <w:t> potentially elevating mood (Hoffman &amp; Hoffman, 2007; McCain, Bell, Mai, &amp; Halliday, 1988). However, other studies focused on the</w:t>
      </w:r>
    </w:p>
    <w:p>
      <w:pPr>
        <w:spacing w:after="0" w:line="494" w:lineRule="auto"/>
        <w:sectPr>
          <w:headerReference w:type="default" r:id="rId18"/>
          <w:pgSz w:w="12450" w:h="15750"/>
          <w:pgMar w:header="1029" w:footer="0" w:top="1580" w:bottom="280" w:left="1760" w:right="1680"/>
        </w:sectPr>
      </w:pPr>
    </w:p>
    <w:p>
      <w:pPr>
        <w:pStyle w:val="BodyText"/>
        <w:spacing w:line="496" w:lineRule="auto" w:before="81"/>
        <w:ind w:left="454" w:right="296" w:firstLine="9"/>
      </w:pPr>
      <w:r>
        <w:rPr>
          <w:w w:val="105"/>
        </w:rPr>
        <w:t>importance of</w:t>
      </w:r>
      <w:r>
        <w:rPr>
          <w:spacing w:val="-7"/>
          <w:w w:val="105"/>
        </w:rPr>
        <w:t> </w:t>
      </w:r>
      <w:r>
        <w:rPr>
          <w:w w:val="105"/>
        </w:rPr>
        <w:t>engaging in leisure activities in general, which</w:t>
      </w:r>
      <w:r>
        <w:rPr>
          <w:spacing w:val="25"/>
          <w:w w:val="105"/>
        </w:rPr>
        <w:t> </w:t>
      </w:r>
      <w:r>
        <w:rPr>
          <w:w w:val="105"/>
        </w:rPr>
        <w:t>is the focus</w:t>
      </w:r>
      <w:r>
        <w:rPr>
          <w:spacing w:val="-3"/>
          <w:w w:val="105"/>
        </w:rPr>
        <w:t> </w:t>
      </w:r>
      <w:r>
        <w:rPr>
          <w:w w:val="105"/>
        </w:rPr>
        <w:t>of</w:t>
      </w:r>
      <w:r>
        <w:rPr>
          <w:spacing w:val="-2"/>
          <w:w w:val="105"/>
        </w:rPr>
        <w:t> </w:t>
      </w:r>
      <w:r>
        <w:rPr>
          <w:w w:val="105"/>
        </w:rPr>
        <w:t>the</w:t>
      </w:r>
      <w:r>
        <w:rPr>
          <w:spacing w:val="-2"/>
          <w:w w:val="105"/>
        </w:rPr>
        <w:t> </w:t>
      </w:r>
      <w:r>
        <w:rPr>
          <w:w w:val="105"/>
        </w:rPr>
        <w:t>current study. Frequently engaging in leisure activities has both psychological and</w:t>
      </w:r>
      <w:r>
        <w:rPr>
          <w:w w:val="105"/>
        </w:rPr>
        <w:t> physical benefits,</w:t>
      </w:r>
      <w:r>
        <w:rPr>
          <w:spacing w:val="-1"/>
          <w:w w:val="105"/>
        </w:rPr>
        <w:t> </w:t>
      </w:r>
      <w:r>
        <w:rPr>
          <w:w w:val="105"/>
        </w:rPr>
        <w:t>and is</w:t>
      </w:r>
      <w:r>
        <w:rPr>
          <w:spacing w:val="-13"/>
          <w:w w:val="105"/>
        </w:rPr>
        <w:t> </w:t>
      </w:r>
      <w:r>
        <w:rPr>
          <w:w w:val="105"/>
        </w:rPr>
        <w:t>associated</w:t>
      </w:r>
      <w:r>
        <w:rPr>
          <w:spacing w:val="21"/>
          <w:w w:val="105"/>
        </w:rPr>
        <w:t> </w:t>
      </w:r>
      <w:r>
        <w:rPr>
          <w:w w:val="105"/>
        </w:rPr>
        <w:t>with</w:t>
      </w:r>
      <w:r>
        <w:rPr>
          <w:w w:val="105"/>
        </w:rPr>
        <w:t> increased</w:t>
      </w:r>
      <w:r>
        <w:rPr>
          <w:spacing w:val="26"/>
          <w:w w:val="105"/>
        </w:rPr>
        <w:t> </w:t>
      </w:r>
      <w:r>
        <w:rPr>
          <w:w w:val="105"/>
        </w:rPr>
        <w:t>life</w:t>
      </w:r>
      <w:r>
        <w:rPr>
          <w:spacing w:val="-12"/>
          <w:w w:val="105"/>
        </w:rPr>
        <w:t> </w:t>
      </w:r>
      <w:r>
        <w:rPr>
          <w:w w:val="105"/>
        </w:rPr>
        <w:t>satisfaction and quality of</w:t>
      </w:r>
      <w:r>
        <w:rPr>
          <w:spacing w:val="-4"/>
          <w:w w:val="105"/>
        </w:rPr>
        <w:t> </w:t>
      </w:r>
      <w:r>
        <w:rPr>
          <w:w w:val="105"/>
        </w:rPr>
        <w:t>life</w:t>
      </w:r>
      <w:r>
        <w:rPr>
          <w:spacing w:val="-6"/>
          <w:w w:val="105"/>
        </w:rPr>
        <w:t> </w:t>
      </w:r>
      <w:r>
        <w:rPr>
          <w:w w:val="105"/>
        </w:rPr>
        <w:t>(Baldwin &amp; Tinsley, 1988; Coleman &amp; Iso-Ahola,</w:t>
      </w:r>
      <w:r>
        <w:rPr>
          <w:w w:val="105"/>
        </w:rPr>
        <w:t> 1993; Iso-Ahola &amp; Park, 1996; Pressman et al., 2009;</w:t>
      </w:r>
      <w:r>
        <w:rPr>
          <w:spacing w:val="-2"/>
          <w:w w:val="105"/>
        </w:rPr>
        <w:t> </w:t>
      </w:r>
      <w:r>
        <w:rPr>
          <w:w w:val="105"/>
        </w:rPr>
        <w:t>Tinsley &amp; Eldredge, 1995). In fact, Hawkins (as cited</w:t>
      </w:r>
      <w:r>
        <w:rPr>
          <w:w w:val="105"/>
        </w:rPr>
        <w:t> in Schalock, 1997) found that one's subjective life satisfaction</w:t>
      </w:r>
      <w:r>
        <w:rPr>
          <w:spacing w:val="36"/>
          <w:w w:val="105"/>
        </w:rPr>
        <w:t> </w:t>
      </w:r>
      <w:r>
        <w:rPr>
          <w:w w:val="105"/>
        </w:rPr>
        <w:t>level</w:t>
      </w:r>
      <w:r>
        <w:rPr>
          <w:w w:val="105"/>
        </w:rPr>
        <w:t> is determined</w:t>
      </w:r>
      <w:r>
        <w:rPr>
          <w:spacing w:val="38"/>
          <w:w w:val="105"/>
        </w:rPr>
        <w:t> </w:t>
      </w:r>
      <w:r>
        <w:rPr>
          <w:w w:val="105"/>
        </w:rPr>
        <w:t>by a balanced</w:t>
      </w:r>
      <w:r>
        <w:rPr>
          <w:spacing w:val="36"/>
          <w:w w:val="105"/>
        </w:rPr>
        <w:t> </w:t>
      </w:r>
      <w:r>
        <w:rPr>
          <w:w w:val="105"/>
        </w:rPr>
        <w:t>relationship between</w:t>
      </w:r>
      <w:r>
        <w:rPr>
          <w:w w:val="105"/>
        </w:rPr>
        <w:t> personal</w:t>
      </w:r>
      <w:r>
        <w:rPr>
          <w:w w:val="105"/>
        </w:rPr>
        <w:t> responsibilities, work, and leisure activities. If</w:t>
      </w:r>
      <w:r>
        <w:rPr>
          <w:spacing w:val="-2"/>
          <w:w w:val="105"/>
        </w:rPr>
        <w:t> </w:t>
      </w:r>
      <w:r>
        <w:rPr>
          <w:w w:val="105"/>
        </w:rPr>
        <w:t>one</w:t>
      </w:r>
      <w:r>
        <w:rPr>
          <w:spacing w:val="-1"/>
          <w:w w:val="105"/>
        </w:rPr>
        <w:t> </w:t>
      </w:r>
      <w:r>
        <w:rPr>
          <w:w w:val="105"/>
        </w:rPr>
        <w:t>of these areas is decreased, the satisfaction</w:t>
      </w:r>
      <w:r>
        <w:rPr>
          <w:spacing w:val="37"/>
          <w:w w:val="105"/>
        </w:rPr>
        <w:t> </w:t>
      </w:r>
      <w:r>
        <w:rPr>
          <w:w w:val="105"/>
        </w:rPr>
        <w:t>with life also goes down. Therefore, any changes</w:t>
      </w:r>
      <w:r>
        <w:rPr>
          <w:w w:val="105"/>
        </w:rPr>
        <w:t> in leisure activities could lead to</w:t>
      </w:r>
      <w:r>
        <w:rPr>
          <w:spacing w:val="-3"/>
          <w:w w:val="105"/>
        </w:rPr>
        <w:t> </w:t>
      </w:r>
      <w:r>
        <w:rPr>
          <w:w w:val="105"/>
        </w:rPr>
        <w:t>changes in one's quality of life (Hawkins,</w:t>
      </w:r>
      <w:r>
        <w:rPr>
          <w:w w:val="105"/>
        </w:rPr>
        <w:t> 1997, as cited</w:t>
      </w:r>
      <w:r>
        <w:rPr>
          <w:w w:val="105"/>
        </w:rPr>
        <w:t> in Schalock, 1997).</w:t>
      </w:r>
    </w:p>
    <w:p>
      <w:pPr>
        <w:pStyle w:val="BodyText"/>
        <w:spacing w:line="494" w:lineRule="auto"/>
        <w:ind w:left="461" w:right="193" w:firstLine="702"/>
      </w:pPr>
      <w:r>
        <w:rPr>
          <w:w w:val="105"/>
        </w:rPr>
        <w:t>Some leisure activities promote and support coping with various stressors (Calbabiano,</w:t>
      </w:r>
      <w:r>
        <w:rPr>
          <w:spacing w:val="40"/>
          <w:w w:val="105"/>
        </w:rPr>
        <w:t> </w:t>
      </w:r>
      <w:r>
        <w:rPr>
          <w:w w:val="105"/>
        </w:rPr>
        <w:t>1994, as</w:t>
      </w:r>
      <w:r>
        <w:rPr>
          <w:spacing w:val="-4"/>
          <w:w w:val="105"/>
        </w:rPr>
        <w:t> </w:t>
      </w:r>
      <w:r>
        <w:rPr>
          <w:w w:val="105"/>
        </w:rPr>
        <w:t>cited in Chun &amp; Lee, 2010; Coleman &amp; Iso-Ahola,</w:t>
      </w:r>
      <w:r>
        <w:rPr>
          <w:w w:val="105"/>
        </w:rPr>
        <w:t> 1993). Participation</w:t>
      </w:r>
      <w:r>
        <w:rPr>
          <w:spacing w:val="40"/>
          <w:w w:val="105"/>
        </w:rPr>
        <w:t> </w:t>
      </w:r>
      <w:r>
        <w:rPr>
          <w:w w:val="105"/>
        </w:rPr>
        <w:t>in leisure activities can create certain social connections that lead to a perception of</w:t>
      </w:r>
      <w:r>
        <w:rPr>
          <w:spacing w:val="-10"/>
          <w:w w:val="105"/>
        </w:rPr>
        <w:t> </w:t>
      </w:r>
      <w:r>
        <w:rPr>
          <w:w w:val="105"/>
        </w:rPr>
        <w:t>available social support, which can be</w:t>
      </w:r>
      <w:r>
        <w:rPr>
          <w:spacing w:val="-10"/>
          <w:w w:val="105"/>
        </w:rPr>
        <w:t> </w:t>
      </w:r>
      <w:r>
        <w:rPr>
          <w:w w:val="105"/>
        </w:rPr>
        <w:t>called</w:t>
      </w:r>
      <w:r>
        <w:rPr>
          <w:w w:val="105"/>
        </w:rPr>
        <w:t> upon when</w:t>
      </w:r>
      <w:r>
        <w:rPr>
          <w:spacing w:val="18"/>
          <w:w w:val="105"/>
        </w:rPr>
        <w:t> </w:t>
      </w:r>
      <w:r>
        <w:rPr>
          <w:w w:val="105"/>
        </w:rPr>
        <w:t>life</w:t>
      </w:r>
      <w:r>
        <w:rPr>
          <w:spacing w:val="-8"/>
          <w:w w:val="105"/>
        </w:rPr>
        <w:t> </w:t>
      </w:r>
      <w:r>
        <w:rPr>
          <w:w w:val="105"/>
        </w:rPr>
        <w:t>stressors</w:t>
      </w:r>
      <w:r>
        <w:rPr>
          <w:spacing w:val="-5"/>
          <w:w w:val="105"/>
        </w:rPr>
        <w:t> </w:t>
      </w:r>
      <w:r>
        <w:rPr>
          <w:w w:val="105"/>
        </w:rPr>
        <w:t>arise. This proposition</w:t>
      </w:r>
      <w:r>
        <w:rPr>
          <w:spacing w:val="40"/>
          <w:w w:val="105"/>
        </w:rPr>
        <w:t> </w:t>
      </w:r>
      <w:r>
        <w:rPr>
          <w:w w:val="105"/>
        </w:rPr>
        <w:t>creates one possible explanation</w:t>
      </w:r>
      <w:r>
        <w:rPr>
          <w:w w:val="105"/>
        </w:rPr>
        <w:t> of why leisure activities may create a buffering effect</w:t>
      </w:r>
      <w:r>
        <w:rPr>
          <w:spacing w:val="19"/>
          <w:w w:val="105"/>
        </w:rPr>
        <w:t> </w:t>
      </w:r>
      <w:r>
        <w:rPr>
          <w:w w:val="105"/>
        </w:rPr>
        <w:t>from</w:t>
      </w:r>
      <w:r>
        <w:rPr>
          <w:spacing w:val="23"/>
          <w:w w:val="105"/>
        </w:rPr>
        <w:t> </w:t>
      </w:r>
      <w:r>
        <w:rPr>
          <w:w w:val="105"/>
        </w:rPr>
        <w:t>life stressors.</w:t>
      </w:r>
      <w:r>
        <w:rPr>
          <w:spacing w:val="26"/>
          <w:w w:val="105"/>
        </w:rPr>
        <w:t> </w:t>
      </w:r>
      <w:r>
        <w:rPr>
          <w:w w:val="105"/>
        </w:rPr>
        <w:t>In addition</w:t>
      </w:r>
      <w:r>
        <w:rPr>
          <w:spacing w:val="21"/>
          <w:w w:val="105"/>
        </w:rPr>
        <w:t> </w:t>
      </w:r>
      <w:r>
        <w:rPr>
          <w:w w:val="105"/>
        </w:rPr>
        <w:t>to</w:t>
      </w:r>
      <w:r>
        <w:rPr>
          <w:spacing w:val="-1"/>
          <w:w w:val="105"/>
        </w:rPr>
        <w:t> </w:t>
      </w:r>
      <w:r>
        <w:rPr>
          <w:w w:val="105"/>
        </w:rPr>
        <w:t>the social support</w:t>
      </w:r>
      <w:r>
        <w:rPr>
          <w:spacing w:val="23"/>
          <w:w w:val="105"/>
        </w:rPr>
        <w:t> </w:t>
      </w:r>
      <w:r>
        <w:rPr>
          <w:w w:val="105"/>
        </w:rPr>
        <w:t>factor, participation</w:t>
      </w:r>
      <w:r>
        <w:rPr>
          <w:w w:val="105"/>
        </w:rPr>
        <w:t> in leisure activities is</w:t>
      </w:r>
      <w:r>
        <w:rPr>
          <w:spacing w:val="-1"/>
          <w:w w:val="105"/>
        </w:rPr>
        <w:t> </w:t>
      </w:r>
      <w:r>
        <w:rPr>
          <w:w w:val="105"/>
        </w:rPr>
        <w:t>thought to generate enhanced self-determination, a personality disposition that is characterized</w:t>
      </w:r>
      <w:r>
        <w:rPr>
          <w:spacing w:val="40"/>
          <w:w w:val="105"/>
        </w:rPr>
        <w:t> </w:t>
      </w:r>
      <w:r>
        <w:rPr>
          <w:w w:val="105"/>
        </w:rPr>
        <w:t>by a belief of being able to initiate, persevere, and complete a task successfully (Coleman</w:t>
      </w:r>
      <w:r>
        <w:rPr>
          <w:w w:val="105"/>
        </w:rPr>
        <w:t> &amp; Iso-Ahola,</w:t>
      </w:r>
      <w:r>
        <w:rPr>
          <w:w w:val="105"/>
        </w:rPr>
        <w:t> 1993). Personality dispositions that exemplify internal</w:t>
      </w:r>
      <w:r>
        <w:rPr>
          <w:w w:val="105"/>
        </w:rPr>
        <w:t> locus of</w:t>
      </w:r>
      <w:r>
        <w:rPr>
          <w:spacing w:val="-9"/>
          <w:w w:val="105"/>
        </w:rPr>
        <w:t> </w:t>
      </w:r>
      <w:r>
        <w:rPr>
          <w:w w:val="105"/>
        </w:rPr>
        <w:t>control and hardiness are</w:t>
      </w:r>
      <w:r>
        <w:rPr>
          <w:spacing w:val="-1"/>
          <w:w w:val="105"/>
        </w:rPr>
        <w:t> </w:t>
      </w:r>
      <w:r>
        <w:rPr>
          <w:w w:val="105"/>
        </w:rPr>
        <w:t>found</w:t>
      </w:r>
      <w:r>
        <w:rPr>
          <w:w w:val="105"/>
        </w:rPr>
        <w:t> to have a buffering effect against stress. If both leisure-generated social support and self-determination attitude do, in fact, work together to buffer against</w:t>
      </w:r>
      <w:r>
        <w:rPr>
          <w:w w:val="105"/>
        </w:rPr>
        <w:t> life</w:t>
      </w:r>
      <w:r>
        <w:rPr>
          <w:spacing w:val="-2"/>
          <w:w w:val="105"/>
        </w:rPr>
        <w:t> </w:t>
      </w:r>
      <w:r>
        <w:rPr>
          <w:w w:val="105"/>
        </w:rPr>
        <w:t>stressors, mental and</w:t>
      </w:r>
      <w:r>
        <w:rPr>
          <w:w w:val="105"/>
        </w:rPr>
        <w:t> physical</w:t>
      </w:r>
      <w:r>
        <w:rPr>
          <w:spacing w:val="30"/>
          <w:w w:val="105"/>
        </w:rPr>
        <w:t> </w:t>
      </w:r>
      <w:r>
        <w:rPr>
          <w:w w:val="105"/>
        </w:rPr>
        <w:t>health are maintained</w:t>
      </w:r>
      <w:r>
        <w:rPr>
          <w:w w:val="105"/>
        </w:rPr>
        <w:t> (Coleman &amp; Iso-Ahola,</w:t>
      </w:r>
      <w:r>
        <w:rPr>
          <w:w w:val="105"/>
        </w:rPr>
        <w:t> 1993). However, it may be</w:t>
      </w:r>
      <w:r>
        <w:rPr>
          <w:spacing w:val="-7"/>
          <w:w w:val="105"/>
        </w:rPr>
        <w:t> </w:t>
      </w:r>
      <w:r>
        <w:rPr>
          <w:w w:val="105"/>
        </w:rPr>
        <w:t>that</w:t>
      </w:r>
      <w:r>
        <w:rPr>
          <w:spacing w:val="-3"/>
          <w:w w:val="105"/>
        </w:rPr>
        <w:t> </w:t>
      </w:r>
      <w:r>
        <w:rPr>
          <w:w w:val="105"/>
        </w:rPr>
        <w:t>only non-passive and</w:t>
      </w:r>
    </w:p>
    <w:p>
      <w:pPr>
        <w:spacing w:after="0" w:line="494" w:lineRule="auto"/>
        <w:sectPr>
          <w:pgSz w:w="12450" w:h="15750"/>
          <w:pgMar w:header="1029" w:footer="0" w:top="1580" w:bottom="280" w:left="1760" w:right="1680"/>
        </w:sectPr>
      </w:pPr>
    </w:p>
    <w:p>
      <w:pPr>
        <w:pStyle w:val="BodyText"/>
        <w:spacing w:line="496" w:lineRule="auto" w:before="81"/>
        <w:ind w:left="461" w:right="166" w:firstLine="2"/>
      </w:pPr>
      <w:r>
        <w:rPr>
          <w:w w:val="105"/>
        </w:rPr>
        <w:t>more</w:t>
      </w:r>
      <w:r>
        <w:rPr>
          <w:spacing w:val="-8"/>
          <w:w w:val="105"/>
        </w:rPr>
        <w:t> </w:t>
      </w:r>
      <w:r>
        <w:rPr>
          <w:w w:val="105"/>
        </w:rPr>
        <w:t>social activities promote</w:t>
      </w:r>
      <w:r>
        <w:rPr>
          <w:spacing w:val="-2"/>
          <w:w w:val="105"/>
        </w:rPr>
        <w:t> </w:t>
      </w:r>
      <w:r>
        <w:rPr>
          <w:w w:val="105"/>
        </w:rPr>
        <w:t>coping</w:t>
      </w:r>
      <w:r>
        <w:rPr>
          <w:spacing w:val="-4"/>
          <w:w w:val="105"/>
        </w:rPr>
        <w:t> </w:t>
      </w:r>
      <w:r>
        <w:rPr>
          <w:w w:val="105"/>
        </w:rPr>
        <w:t>and improve mental</w:t>
      </w:r>
      <w:r>
        <w:rPr>
          <w:w w:val="105"/>
        </w:rPr>
        <w:t> health (Joudrey</w:t>
      </w:r>
      <w:r>
        <w:rPr>
          <w:spacing w:val="-1"/>
          <w:w w:val="105"/>
        </w:rPr>
        <w:t> </w:t>
      </w:r>
      <w:r>
        <w:rPr>
          <w:w w:val="105"/>
        </w:rPr>
        <w:t>&amp; Wallace, </w:t>
      </w:r>
      <w:r>
        <w:rPr>
          <w:spacing w:val="-2"/>
          <w:w w:val="105"/>
        </w:rPr>
        <w:t>2009).</w:t>
      </w:r>
    </w:p>
    <w:p>
      <w:pPr>
        <w:pStyle w:val="BodyText"/>
        <w:spacing w:line="494" w:lineRule="auto"/>
        <w:ind w:left="458" w:right="166" w:firstLine="705"/>
      </w:pPr>
      <w:r>
        <w:rPr>
          <w:w w:val="105"/>
        </w:rPr>
        <w:t>Engagement</w:t>
      </w:r>
      <w:r>
        <w:rPr>
          <w:w w:val="105"/>
        </w:rPr>
        <w:t> in leisure activities may create a buffering effect from</w:t>
      </w:r>
      <w:r>
        <w:rPr>
          <w:spacing w:val="33"/>
          <w:w w:val="105"/>
        </w:rPr>
        <w:t> </w:t>
      </w:r>
      <w:r>
        <w:rPr>
          <w:w w:val="105"/>
        </w:rPr>
        <w:t>possible negative impacts of</w:t>
      </w:r>
      <w:r>
        <w:rPr>
          <w:spacing w:val="-14"/>
          <w:w w:val="105"/>
        </w:rPr>
        <w:t> </w:t>
      </w:r>
      <w:r>
        <w:rPr>
          <w:w w:val="105"/>
        </w:rPr>
        <w:t>stress, with subsequent</w:t>
      </w:r>
      <w:r>
        <w:rPr>
          <w:spacing w:val="26"/>
          <w:w w:val="105"/>
        </w:rPr>
        <w:t> </w:t>
      </w:r>
      <w:r>
        <w:rPr>
          <w:w w:val="105"/>
        </w:rPr>
        <w:t>lower levels</w:t>
      </w:r>
      <w:r>
        <w:rPr>
          <w:spacing w:val="-8"/>
          <w:w w:val="105"/>
        </w:rPr>
        <w:t> </w:t>
      </w:r>
      <w:r>
        <w:rPr>
          <w:w w:val="105"/>
        </w:rPr>
        <w:t>of</w:t>
      </w:r>
      <w:r>
        <w:rPr>
          <w:spacing w:val="-9"/>
          <w:w w:val="105"/>
        </w:rPr>
        <w:t> </w:t>
      </w:r>
      <w:r>
        <w:rPr>
          <w:w w:val="105"/>
        </w:rPr>
        <w:t>depression (lso-Ahola &amp; Park, 1996; Lu, 2011; Pressman et</w:t>
      </w:r>
      <w:r>
        <w:rPr>
          <w:spacing w:val="-2"/>
          <w:w w:val="105"/>
        </w:rPr>
        <w:t> </w:t>
      </w:r>
      <w:r>
        <w:rPr>
          <w:w w:val="105"/>
        </w:rPr>
        <w:t>al., 2009). All of these findings related to the beneficial outcomes associated with leisure activities are</w:t>
      </w:r>
      <w:r>
        <w:rPr>
          <w:spacing w:val="-3"/>
          <w:w w:val="105"/>
        </w:rPr>
        <w:t> </w:t>
      </w:r>
      <w:r>
        <w:rPr>
          <w:w w:val="105"/>
        </w:rPr>
        <w:t>especially salient when</w:t>
      </w:r>
      <w:r>
        <w:rPr>
          <w:spacing w:val="39"/>
          <w:w w:val="105"/>
        </w:rPr>
        <w:t> </w:t>
      </w:r>
      <w:r>
        <w:rPr>
          <w:w w:val="105"/>
        </w:rPr>
        <w:t>looking at populations of</w:t>
      </w:r>
      <w:r>
        <w:rPr>
          <w:spacing w:val="-4"/>
          <w:w w:val="105"/>
        </w:rPr>
        <w:t> </w:t>
      </w:r>
      <w:r>
        <w:rPr>
          <w:w w:val="105"/>
        </w:rPr>
        <w:t>people dealing with life</w:t>
      </w:r>
      <w:r>
        <w:rPr>
          <w:spacing w:val="-10"/>
          <w:w w:val="105"/>
        </w:rPr>
        <w:t> </w:t>
      </w:r>
      <w:r>
        <w:rPr>
          <w:w w:val="105"/>
        </w:rPr>
        <w:t>stressors</w:t>
      </w:r>
      <w:r>
        <w:rPr>
          <w:spacing w:val="-1"/>
          <w:w w:val="105"/>
        </w:rPr>
        <w:t> </w:t>
      </w:r>
      <w:r>
        <w:rPr>
          <w:w w:val="105"/>
        </w:rPr>
        <w:t>associated</w:t>
      </w:r>
      <w:r>
        <w:rPr>
          <w:w w:val="105"/>
        </w:rPr>
        <w:t> with chronic pain. In fact, in a literature review evaluating different coping strategies used</w:t>
      </w:r>
      <w:r>
        <w:rPr>
          <w:w w:val="105"/>
        </w:rPr>
        <w:t> by people experiencing chronic pain, Peres and Lucchetti (2010) found that participation</w:t>
      </w:r>
      <w:r>
        <w:rPr>
          <w:spacing w:val="40"/>
          <w:w w:val="105"/>
        </w:rPr>
        <w:t> </w:t>
      </w:r>
      <w:r>
        <w:rPr>
          <w:w w:val="105"/>
        </w:rPr>
        <w:t>in</w:t>
      </w:r>
      <w:r>
        <w:rPr>
          <w:spacing w:val="40"/>
          <w:w w:val="105"/>
        </w:rPr>
        <w:t> </w:t>
      </w:r>
      <w:r>
        <w:rPr>
          <w:w w:val="105"/>
        </w:rPr>
        <w:t>"Distraction/Diverting attention" and "Keeping Busy" techniques promoted directing attention away from</w:t>
      </w:r>
      <w:r>
        <w:rPr>
          <w:w w:val="105"/>
        </w:rPr>
        <w:t> pain and encouraged</w:t>
      </w:r>
      <w:r>
        <w:rPr>
          <w:spacing w:val="40"/>
          <w:w w:val="105"/>
        </w:rPr>
        <w:t> </w:t>
      </w:r>
      <w:r>
        <w:rPr>
          <w:w w:val="105"/>
        </w:rPr>
        <w:t>people with chronic pain to focus on other activities, such as leisure, which could also in tum be associated</w:t>
      </w:r>
      <w:r>
        <w:rPr>
          <w:spacing w:val="39"/>
          <w:w w:val="105"/>
        </w:rPr>
        <w:t> </w:t>
      </w:r>
      <w:r>
        <w:rPr>
          <w:w w:val="105"/>
        </w:rPr>
        <w:t>with positive mood </w:t>
      </w:r>
      <w:r>
        <w:rPr>
          <w:spacing w:val="-2"/>
          <w:w w:val="105"/>
        </w:rPr>
        <w:t>increases.</w:t>
      </w:r>
    </w:p>
    <w:p>
      <w:pPr>
        <w:pStyle w:val="BodyText"/>
        <w:spacing w:line="501" w:lineRule="auto" w:before="1"/>
        <w:ind w:left="1170" w:right="1042" w:firstLine="1606"/>
      </w:pPr>
      <w:r>
        <w:rPr>
          <w:w w:val="105"/>
          <w:u w:val="thick"/>
        </w:rPr>
        <w:t>Impact of Chronic Pain on Leisure Activities</w:t>
      </w:r>
      <w:r>
        <w:rPr>
          <w:w w:val="105"/>
          <w:u w:val="none"/>
        </w:rPr>
        <w:t> According</w:t>
      </w:r>
      <w:r>
        <w:rPr>
          <w:spacing w:val="-2"/>
          <w:w w:val="105"/>
          <w:u w:val="none"/>
        </w:rPr>
        <w:t> </w:t>
      </w:r>
      <w:r>
        <w:rPr>
          <w:w w:val="105"/>
          <w:u w:val="none"/>
        </w:rPr>
        <w:t>to</w:t>
      </w:r>
      <w:r>
        <w:rPr>
          <w:spacing w:val="-12"/>
          <w:w w:val="105"/>
          <w:u w:val="none"/>
        </w:rPr>
        <w:t> </w:t>
      </w:r>
      <w:r>
        <w:rPr>
          <w:w w:val="105"/>
          <w:u w:val="none"/>
        </w:rPr>
        <w:t>Soderback (1999),</w:t>
      </w:r>
      <w:r>
        <w:rPr>
          <w:spacing w:val="-2"/>
          <w:w w:val="105"/>
          <w:u w:val="none"/>
        </w:rPr>
        <w:t> </w:t>
      </w:r>
      <w:r>
        <w:rPr>
          <w:w w:val="105"/>
          <w:u w:val="none"/>
        </w:rPr>
        <w:t>experiencing chronic pain can create</w:t>
      </w:r>
      <w:r>
        <w:rPr>
          <w:spacing w:val="-7"/>
          <w:w w:val="105"/>
          <w:u w:val="none"/>
        </w:rPr>
        <w:t> </w:t>
      </w:r>
      <w:r>
        <w:rPr>
          <w:w w:val="105"/>
          <w:u w:val="none"/>
        </w:rPr>
        <w:t>an</w:t>
      </w:r>
    </w:p>
    <w:p>
      <w:pPr>
        <w:pStyle w:val="BodyText"/>
        <w:spacing w:line="494" w:lineRule="auto"/>
        <w:ind w:left="472" w:right="129" w:firstLine="10"/>
      </w:pPr>
      <w:r>
        <w:rPr/>
        <w:t>imbalance</w:t>
      </w:r>
      <w:r>
        <w:rPr>
          <w:spacing w:val="40"/>
        </w:rPr>
        <w:t> </w:t>
      </w:r>
      <w:r>
        <w:rPr/>
        <w:t>between</w:t>
      </w:r>
      <w:r>
        <w:rPr>
          <w:spacing w:val="40"/>
        </w:rPr>
        <w:t> </w:t>
      </w:r>
      <w:r>
        <w:rPr/>
        <w:t>self-care,</w:t>
      </w:r>
      <w:r>
        <w:rPr>
          <w:spacing w:val="30"/>
        </w:rPr>
        <w:t> </w:t>
      </w:r>
      <w:r>
        <w:rPr/>
        <w:t>work,</w:t>
      </w:r>
      <w:r>
        <w:rPr>
          <w:spacing w:val="36"/>
        </w:rPr>
        <w:t> </w:t>
      </w:r>
      <w:r>
        <w:rPr/>
        <w:t>rest</w:t>
      </w:r>
      <w:r>
        <w:rPr>
          <w:spacing w:val="30"/>
        </w:rPr>
        <w:t> </w:t>
      </w:r>
      <w:r>
        <w:rPr/>
        <w:t>and</w:t>
      </w:r>
      <w:r>
        <w:rPr>
          <w:spacing w:val="40"/>
        </w:rPr>
        <w:t> </w:t>
      </w:r>
      <w:r>
        <w:rPr/>
        <w:t>leisure</w:t>
      </w:r>
      <w:r>
        <w:rPr>
          <w:spacing w:val="30"/>
        </w:rPr>
        <w:t> </w:t>
      </w:r>
      <w:r>
        <w:rPr/>
        <w:t>activities,</w:t>
      </w:r>
      <w:r>
        <w:rPr>
          <w:spacing w:val="40"/>
        </w:rPr>
        <w:t> </w:t>
      </w:r>
      <w:r>
        <w:rPr/>
        <w:t>with</w:t>
      </w:r>
      <w:r>
        <w:rPr>
          <w:spacing w:val="40"/>
        </w:rPr>
        <w:t> </w:t>
      </w:r>
      <w:r>
        <w:rPr/>
        <w:t>leisure</w:t>
      </w:r>
      <w:r>
        <w:rPr>
          <w:spacing w:val="25"/>
        </w:rPr>
        <w:t> </w:t>
      </w:r>
      <w:r>
        <w:rPr/>
        <w:t>activities</w:t>
      </w:r>
      <w:r>
        <w:rPr>
          <w:spacing w:val="39"/>
        </w:rPr>
        <w:t> </w:t>
      </w:r>
      <w:r>
        <w:rPr/>
        <w:t>being the</w:t>
      </w:r>
      <w:r>
        <w:rPr>
          <w:spacing w:val="40"/>
        </w:rPr>
        <w:t> </w:t>
      </w:r>
      <w:r>
        <w:rPr/>
        <w:t>first</w:t>
      </w:r>
      <w:r>
        <w:rPr>
          <w:spacing w:val="40"/>
        </w:rPr>
        <w:t> </w:t>
      </w:r>
      <w:r>
        <w:rPr/>
        <w:t>ones</w:t>
      </w:r>
      <w:r>
        <w:rPr>
          <w:spacing w:val="35"/>
        </w:rPr>
        <w:t> </w:t>
      </w:r>
      <w:r>
        <w:rPr/>
        <w:t>to disappear.</w:t>
      </w:r>
      <w:r>
        <w:rPr>
          <w:spacing w:val="40"/>
        </w:rPr>
        <w:t> </w:t>
      </w:r>
      <w:r>
        <w:rPr/>
        <w:t>Skjutar</w:t>
      </w:r>
      <w:r>
        <w:rPr>
          <w:spacing w:val="40"/>
        </w:rPr>
        <w:t> </w:t>
      </w:r>
      <w:r>
        <w:rPr/>
        <w:t>and</w:t>
      </w:r>
      <w:r>
        <w:rPr>
          <w:spacing w:val="40"/>
        </w:rPr>
        <w:t> </w:t>
      </w:r>
      <w:r>
        <w:rPr/>
        <w:t>colleagues</w:t>
      </w:r>
      <w:r>
        <w:rPr>
          <w:spacing w:val="40"/>
        </w:rPr>
        <w:t> </w:t>
      </w:r>
      <w:r>
        <w:rPr/>
        <w:t>(2010)</w:t>
      </w:r>
      <w:r>
        <w:rPr>
          <w:spacing w:val="40"/>
        </w:rPr>
        <w:t> </w:t>
      </w:r>
      <w:r>
        <w:rPr/>
        <w:t>attempted</w:t>
      </w:r>
      <w:r>
        <w:rPr>
          <w:spacing w:val="40"/>
        </w:rPr>
        <w:t> </w:t>
      </w:r>
      <w:r>
        <w:rPr/>
        <w:t>to describe</w:t>
      </w:r>
      <w:r>
        <w:rPr>
          <w:spacing w:val="40"/>
        </w:rPr>
        <w:t> </w:t>
      </w:r>
      <w:r>
        <w:rPr/>
        <w:t>such</w:t>
      </w:r>
      <w:r>
        <w:rPr>
          <w:spacing w:val="40"/>
        </w:rPr>
        <w:t> </w:t>
      </w:r>
      <w:r>
        <w:rPr/>
        <w:t>a decrease</w:t>
      </w:r>
      <w:r>
        <w:rPr>
          <w:spacing w:val="40"/>
        </w:rPr>
        <w:t> </w:t>
      </w:r>
      <w:r>
        <w:rPr/>
        <w:t>in</w:t>
      </w:r>
      <w:r>
        <w:rPr>
          <w:spacing w:val="40"/>
        </w:rPr>
        <w:t> </w:t>
      </w:r>
      <w:r>
        <w:rPr/>
        <w:t>leisure</w:t>
      </w:r>
      <w:r>
        <w:rPr>
          <w:spacing w:val="40"/>
        </w:rPr>
        <w:t> </w:t>
      </w:r>
      <w:r>
        <w:rPr/>
        <w:t>activities</w:t>
      </w:r>
      <w:r>
        <w:rPr>
          <w:spacing w:val="40"/>
        </w:rPr>
        <w:t> </w:t>
      </w:r>
      <w:r>
        <w:rPr/>
        <w:t>by creating</w:t>
      </w:r>
      <w:r>
        <w:rPr>
          <w:spacing w:val="39"/>
        </w:rPr>
        <w:t> </w:t>
      </w:r>
      <w:r>
        <w:rPr/>
        <w:t>a</w:t>
      </w:r>
      <w:r>
        <w:rPr>
          <w:spacing w:val="38"/>
        </w:rPr>
        <w:t> </w:t>
      </w:r>
      <w:r>
        <w:rPr/>
        <w:t>construct</w:t>
      </w:r>
      <w:r>
        <w:rPr>
          <w:spacing w:val="40"/>
        </w:rPr>
        <w:t> </w:t>
      </w:r>
      <w:r>
        <w:rPr/>
        <w:t>named</w:t>
      </w:r>
      <w:r>
        <w:rPr>
          <w:spacing w:val="40"/>
        </w:rPr>
        <w:t> </w:t>
      </w:r>
      <w:r>
        <w:rPr/>
        <w:t>"disproportional</w:t>
      </w:r>
      <w:r>
        <w:rPr>
          <w:spacing w:val="40"/>
        </w:rPr>
        <w:t> </w:t>
      </w:r>
      <w:r>
        <w:rPr/>
        <w:t>activity pattern."</w:t>
      </w:r>
      <w:r>
        <w:rPr>
          <w:spacing w:val="25"/>
        </w:rPr>
        <w:t> </w:t>
      </w:r>
      <w:r>
        <w:rPr/>
        <w:t>They</w:t>
      </w:r>
      <w:r>
        <w:rPr>
          <w:spacing w:val="57"/>
        </w:rPr>
        <w:t> </w:t>
      </w:r>
      <w:r>
        <w:rPr/>
        <w:t>proposed</w:t>
      </w:r>
      <w:r>
        <w:rPr>
          <w:spacing w:val="57"/>
        </w:rPr>
        <w:t> </w:t>
      </w:r>
      <w:r>
        <w:rPr/>
        <w:t>that</w:t>
      </w:r>
      <w:r>
        <w:rPr>
          <w:spacing w:val="40"/>
        </w:rPr>
        <w:t> </w:t>
      </w:r>
      <w:r>
        <w:rPr/>
        <w:t>because</w:t>
      </w:r>
      <w:r>
        <w:rPr>
          <w:spacing w:val="40"/>
        </w:rPr>
        <w:t> </w:t>
      </w:r>
      <w:r>
        <w:rPr/>
        <w:t>of</w:t>
      </w:r>
      <w:r>
        <w:rPr>
          <w:spacing w:val="22"/>
        </w:rPr>
        <w:t> </w:t>
      </w:r>
      <w:r>
        <w:rPr/>
        <w:t>chronic</w:t>
      </w:r>
      <w:r>
        <w:rPr>
          <w:spacing w:val="64"/>
        </w:rPr>
        <w:t> </w:t>
      </w:r>
      <w:r>
        <w:rPr/>
        <w:t>pain,</w:t>
      </w:r>
      <w:r>
        <w:rPr>
          <w:spacing w:val="40"/>
        </w:rPr>
        <w:t> </w:t>
      </w:r>
      <w:r>
        <w:rPr/>
        <w:t>individuals</w:t>
      </w:r>
      <w:r>
        <w:rPr>
          <w:spacing w:val="40"/>
        </w:rPr>
        <w:t> </w:t>
      </w:r>
      <w:r>
        <w:rPr/>
        <w:t>start</w:t>
      </w:r>
      <w:r>
        <w:rPr>
          <w:spacing w:val="40"/>
        </w:rPr>
        <w:t> </w:t>
      </w:r>
      <w:r>
        <w:rPr/>
        <w:t>to</w:t>
      </w:r>
      <w:r>
        <w:rPr>
          <w:spacing w:val="28"/>
        </w:rPr>
        <w:t> </w:t>
      </w:r>
      <w:r>
        <w:rPr/>
        <w:t>struggle</w:t>
      </w:r>
      <w:r>
        <w:rPr>
          <w:spacing w:val="36"/>
        </w:rPr>
        <w:t> </w:t>
      </w:r>
      <w:r>
        <w:rPr/>
        <w:t>at</w:t>
      </w:r>
      <w:r>
        <w:rPr/>
        <w:t> work,</w:t>
      </w:r>
      <w:r>
        <w:rPr>
          <w:spacing w:val="29"/>
        </w:rPr>
        <w:t> </w:t>
      </w:r>
      <w:r>
        <w:rPr/>
        <w:t>and</w:t>
      </w:r>
      <w:r>
        <w:rPr>
          <w:spacing w:val="40"/>
        </w:rPr>
        <w:t> </w:t>
      </w:r>
      <w:r>
        <w:rPr/>
        <w:t>in</w:t>
      </w:r>
      <w:r>
        <w:rPr>
          <w:spacing w:val="29"/>
        </w:rPr>
        <w:t> </w:t>
      </w:r>
      <w:r>
        <w:rPr/>
        <w:t>order</w:t>
      </w:r>
      <w:r>
        <w:rPr>
          <w:spacing w:val="34"/>
        </w:rPr>
        <w:t> </w:t>
      </w:r>
      <w:r>
        <w:rPr/>
        <w:t>to</w:t>
      </w:r>
      <w:r>
        <w:rPr>
          <w:spacing w:val="27"/>
        </w:rPr>
        <w:t> </w:t>
      </w:r>
      <w:r>
        <w:rPr/>
        <w:t>keep</w:t>
      </w:r>
      <w:r>
        <w:rPr>
          <w:spacing w:val="37"/>
        </w:rPr>
        <w:t> </w:t>
      </w:r>
      <w:r>
        <w:rPr/>
        <w:t>up</w:t>
      </w:r>
      <w:r>
        <w:rPr>
          <w:spacing w:val="23"/>
        </w:rPr>
        <w:t> </w:t>
      </w:r>
      <w:r>
        <w:rPr/>
        <w:t>with</w:t>
      </w:r>
      <w:r>
        <w:rPr>
          <w:spacing w:val="34"/>
        </w:rPr>
        <w:t> </w:t>
      </w:r>
      <w:r>
        <w:rPr/>
        <w:t>the</w:t>
      </w:r>
      <w:r>
        <w:rPr>
          <w:spacing w:val="25"/>
        </w:rPr>
        <w:t> </w:t>
      </w:r>
      <w:r>
        <w:rPr/>
        <w:t>demands</w:t>
      </w:r>
      <w:r>
        <w:rPr>
          <w:spacing w:val="40"/>
        </w:rPr>
        <w:t> </w:t>
      </w:r>
      <w:r>
        <w:rPr/>
        <w:t>placed</w:t>
      </w:r>
      <w:r>
        <w:rPr>
          <w:spacing w:val="40"/>
        </w:rPr>
        <w:t> </w:t>
      </w:r>
      <w:r>
        <w:rPr/>
        <w:t>on</w:t>
      </w:r>
      <w:r>
        <w:rPr>
          <w:spacing w:val="30"/>
        </w:rPr>
        <w:t> </w:t>
      </w:r>
      <w:r>
        <w:rPr/>
        <w:t>them,</w:t>
      </w:r>
      <w:r>
        <w:rPr>
          <w:spacing w:val="36"/>
        </w:rPr>
        <w:t> </w:t>
      </w:r>
      <w:r>
        <w:rPr/>
        <w:t>they</w:t>
      </w:r>
      <w:r>
        <w:rPr>
          <w:spacing w:val="40"/>
        </w:rPr>
        <w:t> </w:t>
      </w:r>
      <w:r>
        <w:rPr/>
        <w:t>have</w:t>
      </w:r>
      <w:r>
        <w:rPr>
          <w:spacing w:val="25"/>
        </w:rPr>
        <w:t> </w:t>
      </w:r>
      <w:r>
        <w:rPr/>
        <w:t>to</w:t>
      </w:r>
      <w:r>
        <w:rPr>
          <w:spacing w:val="40"/>
        </w:rPr>
        <w:t> </w:t>
      </w:r>
      <w:r>
        <w:rPr/>
        <w:t>dedicate more energy</w:t>
      </w:r>
      <w:r>
        <w:rPr>
          <w:spacing w:val="40"/>
        </w:rPr>
        <w:t> </w:t>
      </w:r>
      <w:r>
        <w:rPr/>
        <w:t>to</w:t>
      </w:r>
      <w:r>
        <w:rPr>
          <w:spacing w:val="30"/>
        </w:rPr>
        <w:t> </w:t>
      </w:r>
      <w:r>
        <w:rPr/>
        <w:t>it.</w:t>
      </w:r>
      <w:r>
        <w:rPr>
          <w:spacing w:val="36"/>
        </w:rPr>
        <w:t> </w:t>
      </w:r>
      <w:r>
        <w:rPr/>
        <w:t>When</w:t>
      </w:r>
      <w:r>
        <w:rPr>
          <w:spacing w:val="40"/>
        </w:rPr>
        <w:t> </w:t>
      </w:r>
      <w:r>
        <w:rPr/>
        <w:t>they come</w:t>
      </w:r>
      <w:r>
        <w:rPr>
          <w:spacing w:val="40"/>
        </w:rPr>
        <w:t> </w:t>
      </w:r>
      <w:r>
        <w:rPr/>
        <w:t>home,</w:t>
      </w:r>
      <w:r>
        <w:rPr>
          <w:spacing w:val="40"/>
        </w:rPr>
        <w:t> </w:t>
      </w:r>
      <w:r>
        <w:rPr/>
        <w:t>they</w:t>
      </w:r>
      <w:r>
        <w:rPr>
          <w:spacing w:val="32"/>
        </w:rPr>
        <w:t> </w:t>
      </w:r>
      <w:r>
        <w:rPr/>
        <w:t>do</w:t>
      </w:r>
      <w:r>
        <w:rPr>
          <w:spacing w:val="39"/>
        </w:rPr>
        <w:t> </w:t>
      </w:r>
      <w:r>
        <w:rPr/>
        <w:t>not</w:t>
      </w:r>
      <w:r>
        <w:rPr>
          <w:spacing w:val="40"/>
        </w:rPr>
        <w:t> </w:t>
      </w:r>
      <w:r>
        <w:rPr/>
        <w:t>have energy</w:t>
      </w:r>
      <w:r>
        <w:rPr>
          <w:spacing w:val="40"/>
        </w:rPr>
        <w:t> </w:t>
      </w:r>
      <w:r>
        <w:rPr/>
        <w:t>for</w:t>
      </w:r>
      <w:r>
        <w:rPr>
          <w:spacing w:val="30"/>
        </w:rPr>
        <w:t> </w:t>
      </w:r>
      <w:r>
        <w:rPr/>
        <w:t>anything</w:t>
      </w:r>
      <w:r>
        <w:rPr>
          <w:spacing w:val="36"/>
        </w:rPr>
        <w:t> </w:t>
      </w:r>
      <w:r>
        <w:rPr/>
        <w:t>else, including</w:t>
      </w:r>
      <w:r>
        <w:rPr>
          <w:spacing w:val="40"/>
        </w:rPr>
        <w:t> </w:t>
      </w:r>
      <w:r>
        <w:rPr/>
        <w:t>leisure activities</w:t>
      </w:r>
      <w:r>
        <w:rPr>
          <w:spacing w:val="40"/>
        </w:rPr>
        <w:t> </w:t>
      </w:r>
      <w:r>
        <w:rPr/>
        <w:t>(Skjutar et al., 20 I</w:t>
      </w:r>
      <w:r>
        <w:rPr>
          <w:spacing w:val="-6"/>
        </w:rPr>
        <w:t> </w:t>
      </w:r>
      <w:r>
        <w:rPr/>
        <w:t>0).</w:t>
      </w:r>
    </w:p>
    <w:p>
      <w:pPr>
        <w:spacing w:after="0" w:line="494" w:lineRule="auto"/>
        <w:sectPr>
          <w:headerReference w:type="default" r:id="rId19"/>
          <w:pgSz w:w="12410" w:h="15750"/>
          <w:pgMar w:header="1010" w:footer="0" w:top="1600" w:bottom="280" w:left="1760" w:right="1700"/>
        </w:sectPr>
      </w:pPr>
    </w:p>
    <w:p>
      <w:pPr>
        <w:pStyle w:val="BodyText"/>
        <w:spacing w:line="494" w:lineRule="auto" w:before="81"/>
        <w:ind w:left="491" w:right="105" w:firstLine="693"/>
      </w:pPr>
      <w:r>
        <w:rPr>
          <w:w w:val="105"/>
        </w:rPr>
        <w:t>The direction of the relationship between chronic</w:t>
      </w:r>
      <w:r>
        <w:rPr>
          <w:w w:val="105"/>
        </w:rPr>
        <w:t> pain, depression, and leisure activities is unclear. Depression</w:t>
      </w:r>
      <w:r>
        <w:rPr>
          <w:spacing w:val="37"/>
          <w:w w:val="105"/>
        </w:rPr>
        <w:t> </w:t>
      </w:r>
      <w:r>
        <w:rPr>
          <w:w w:val="105"/>
        </w:rPr>
        <w:t>may play a mediating role between chronic</w:t>
      </w:r>
      <w:r>
        <w:rPr>
          <w:w w:val="105"/>
        </w:rPr>
        <w:t> pain and leisure</w:t>
      </w:r>
      <w:r>
        <w:rPr>
          <w:spacing w:val="-3"/>
          <w:w w:val="105"/>
        </w:rPr>
        <w:t> </w:t>
      </w:r>
      <w:r>
        <w:rPr>
          <w:w w:val="105"/>
        </w:rPr>
        <w:t>activities. Palomino, Nicassio,</w:t>
      </w:r>
      <w:r>
        <w:rPr>
          <w:spacing w:val="-3"/>
          <w:w w:val="105"/>
        </w:rPr>
        <w:t> </w:t>
      </w:r>
      <w:r>
        <w:rPr>
          <w:w w:val="105"/>
        </w:rPr>
        <w:t>Greenberg, and Medina</w:t>
      </w:r>
      <w:r>
        <w:rPr>
          <w:spacing w:val="-3"/>
          <w:w w:val="105"/>
        </w:rPr>
        <w:t> </w:t>
      </w:r>
      <w:r>
        <w:rPr>
          <w:w w:val="105"/>
        </w:rPr>
        <w:t>(2007)</w:t>
      </w:r>
      <w:r>
        <w:rPr>
          <w:spacing w:val="-2"/>
          <w:w w:val="105"/>
        </w:rPr>
        <w:t> </w:t>
      </w:r>
      <w:r>
        <w:rPr>
          <w:w w:val="105"/>
        </w:rPr>
        <w:t>found that in people diagnosed</w:t>
      </w:r>
      <w:r>
        <w:rPr>
          <w:spacing w:val="28"/>
          <w:w w:val="105"/>
        </w:rPr>
        <w:t> </w:t>
      </w:r>
      <w:r>
        <w:rPr>
          <w:w w:val="105"/>
        </w:rPr>
        <w:t>with FM, when limitations in physical</w:t>
      </w:r>
      <w:r>
        <w:rPr>
          <w:spacing w:val="27"/>
          <w:w w:val="105"/>
        </w:rPr>
        <w:t> </w:t>
      </w:r>
      <w:r>
        <w:rPr>
          <w:w w:val="105"/>
        </w:rPr>
        <w:t>performance caused</w:t>
      </w:r>
      <w:r>
        <w:rPr>
          <w:spacing w:val="26"/>
          <w:w w:val="105"/>
        </w:rPr>
        <w:t> </w:t>
      </w:r>
      <w:r>
        <w:rPr>
          <w:w w:val="105"/>
        </w:rPr>
        <w:t>by chronic</w:t>
      </w:r>
      <w:r>
        <w:rPr>
          <w:spacing w:val="21"/>
          <w:w w:val="105"/>
        </w:rPr>
        <w:t> </w:t>
      </w:r>
      <w:r>
        <w:rPr>
          <w:w w:val="105"/>
        </w:rPr>
        <w:t>pain</w:t>
      </w:r>
      <w:r>
        <w:rPr>
          <w:w w:val="105"/>
        </w:rPr>
        <w:t> lead to</w:t>
      </w:r>
      <w:r>
        <w:rPr>
          <w:spacing w:val="-13"/>
          <w:w w:val="105"/>
        </w:rPr>
        <w:t> </w:t>
      </w:r>
      <w:r>
        <w:rPr>
          <w:w w:val="105"/>
        </w:rPr>
        <w:t>disruption</w:t>
      </w:r>
      <w:r>
        <w:rPr>
          <w:spacing w:val="27"/>
          <w:w w:val="105"/>
        </w:rPr>
        <w:t> </w:t>
      </w:r>
      <w:r>
        <w:rPr>
          <w:w w:val="105"/>
        </w:rPr>
        <w:t>in areas</w:t>
      </w:r>
      <w:r>
        <w:rPr>
          <w:spacing w:val="-10"/>
          <w:w w:val="105"/>
        </w:rPr>
        <w:t> </w:t>
      </w:r>
      <w:r>
        <w:rPr>
          <w:w w:val="105"/>
        </w:rPr>
        <w:t>of</w:t>
      </w:r>
      <w:r>
        <w:rPr>
          <w:spacing w:val="-2"/>
          <w:w w:val="105"/>
        </w:rPr>
        <w:t> </w:t>
      </w:r>
      <w:r>
        <w:rPr>
          <w:w w:val="105"/>
        </w:rPr>
        <w:t>personally valued</w:t>
      </w:r>
      <w:r>
        <w:rPr>
          <w:w w:val="105"/>
        </w:rPr>
        <w:t> characteristics</w:t>
      </w:r>
      <w:r>
        <w:rPr>
          <w:spacing w:val="-12"/>
          <w:w w:val="105"/>
        </w:rPr>
        <w:t> </w:t>
      </w:r>
      <w:r>
        <w:rPr>
          <w:w w:val="105"/>
        </w:rPr>
        <w:t>of</w:t>
      </w:r>
      <w:r>
        <w:rPr>
          <w:spacing w:val="-1"/>
          <w:w w:val="105"/>
        </w:rPr>
        <w:t> </w:t>
      </w:r>
      <w:r>
        <w:rPr>
          <w:w w:val="105"/>
        </w:rPr>
        <w:t>role functioning, chronic pain is linked to</w:t>
      </w:r>
      <w:r>
        <w:rPr>
          <w:spacing w:val="-2"/>
          <w:w w:val="105"/>
        </w:rPr>
        <w:t> </w:t>
      </w:r>
      <w:r>
        <w:rPr>
          <w:w w:val="105"/>
        </w:rPr>
        <w:t>depression. It was</w:t>
      </w:r>
      <w:r>
        <w:rPr>
          <w:spacing w:val="-4"/>
          <w:w w:val="105"/>
        </w:rPr>
        <w:t> </w:t>
      </w:r>
      <w:r>
        <w:rPr>
          <w:w w:val="105"/>
        </w:rPr>
        <w:t>also found</w:t>
      </w:r>
      <w:r>
        <w:rPr>
          <w:w w:val="105"/>
        </w:rPr>
        <w:t> by Kemler and Fumee (2002) that chronic pain could</w:t>
      </w:r>
      <w:r>
        <w:rPr>
          <w:w w:val="105"/>
        </w:rPr>
        <w:t> lead to</w:t>
      </w:r>
      <w:r>
        <w:rPr>
          <w:spacing w:val="-3"/>
          <w:w w:val="105"/>
        </w:rPr>
        <w:t> </w:t>
      </w:r>
      <w:r>
        <w:rPr>
          <w:w w:val="105"/>
        </w:rPr>
        <w:t>the loss of</w:t>
      </w:r>
      <w:r>
        <w:rPr>
          <w:spacing w:val="-11"/>
          <w:w w:val="105"/>
        </w:rPr>
        <w:t> </w:t>
      </w:r>
      <w:r>
        <w:rPr>
          <w:w w:val="105"/>
        </w:rPr>
        <w:t>energy and interest to participate in pleasurable activities.</w:t>
      </w:r>
    </w:p>
    <w:p>
      <w:pPr>
        <w:pStyle w:val="BodyText"/>
        <w:spacing w:line="494" w:lineRule="auto" w:before="9"/>
        <w:ind w:left="501" w:right="105"/>
      </w:pPr>
      <w:r>
        <w:rPr>
          <w:w w:val="105"/>
        </w:rPr>
        <w:t>Additionally, experiencing chronic pain may cause</w:t>
      </w:r>
      <w:r>
        <w:rPr>
          <w:w w:val="105"/>
        </w:rPr>
        <w:t> isolation and lead to strained relationships with significant others. The combination of</w:t>
      </w:r>
      <w:r>
        <w:rPr>
          <w:spacing w:val="-2"/>
          <w:w w:val="105"/>
        </w:rPr>
        <w:t> </w:t>
      </w:r>
      <w:r>
        <w:rPr>
          <w:w w:val="105"/>
        </w:rPr>
        <w:t>all these factors could lead to depression (Amstein, 2004). However, the direction of the relationship</w:t>
      </w:r>
      <w:r>
        <w:rPr>
          <w:w w:val="105"/>
        </w:rPr>
        <w:t> between chronic pain,</w:t>
      </w:r>
      <w:r>
        <w:rPr>
          <w:spacing w:val="-4"/>
          <w:w w:val="105"/>
        </w:rPr>
        <w:t> </w:t>
      </w:r>
      <w:r>
        <w:rPr>
          <w:w w:val="105"/>
        </w:rPr>
        <w:t>depression, and leisure</w:t>
      </w:r>
      <w:r>
        <w:rPr>
          <w:spacing w:val="-13"/>
          <w:w w:val="105"/>
        </w:rPr>
        <w:t> </w:t>
      </w:r>
      <w:r>
        <w:rPr>
          <w:w w:val="105"/>
        </w:rPr>
        <w:t>activities is</w:t>
      </w:r>
      <w:r>
        <w:rPr>
          <w:spacing w:val="-5"/>
          <w:w w:val="105"/>
        </w:rPr>
        <w:t> </w:t>
      </w:r>
      <w:r>
        <w:rPr>
          <w:w w:val="105"/>
        </w:rPr>
        <w:t>unclear.</w:t>
      </w:r>
      <w:r>
        <w:rPr>
          <w:w w:val="105"/>
        </w:rPr>
        <w:t> While</w:t>
      </w:r>
      <w:r>
        <w:rPr>
          <w:spacing w:val="-3"/>
          <w:w w:val="105"/>
        </w:rPr>
        <w:t> </w:t>
      </w:r>
      <w:r>
        <w:rPr>
          <w:w w:val="105"/>
        </w:rPr>
        <w:t>some research</w:t>
      </w:r>
      <w:r>
        <w:rPr>
          <w:spacing w:val="17"/>
          <w:w w:val="105"/>
        </w:rPr>
        <w:t> </w:t>
      </w:r>
      <w:r>
        <w:rPr>
          <w:w w:val="105"/>
        </w:rPr>
        <w:t>shows</w:t>
      </w:r>
      <w:r>
        <w:rPr>
          <w:spacing w:val="-2"/>
          <w:w w:val="105"/>
        </w:rPr>
        <w:t> </w:t>
      </w:r>
      <w:r>
        <w:rPr>
          <w:w w:val="105"/>
        </w:rPr>
        <w:t>that</w:t>
      </w:r>
      <w:r>
        <w:rPr>
          <w:spacing w:val="-3"/>
          <w:w w:val="105"/>
        </w:rPr>
        <w:t> </w:t>
      </w:r>
      <w:r>
        <w:rPr>
          <w:w w:val="105"/>
        </w:rPr>
        <w:t>chronic pain leads to a decrease in leisure activities, which leads to</w:t>
      </w:r>
      <w:r>
        <w:rPr>
          <w:spacing w:val="-3"/>
          <w:w w:val="105"/>
        </w:rPr>
        <w:t> </w:t>
      </w:r>
      <w:r>
        <w:rPr>
          <w:w w:val="105"/>
        </w:rPr>
        <w:t>depression, others show a reverse relationship where depression</w:t>
      </w:r>
      <w:r>
        <w:rPr>
          <w:w w:val="105"/>
        </w:rPr>
        <w:t> precedes decreased</w:t>
      </w:r>
      <w:r>
        <w:rPr>
          <w:spacing w:val="40"/>
          <w:w w:val="105"/>
        </w:rPr>
        <w:t> </w:t>
      </w:r>
      <w:r>
        <w:rPr>
          <w:w w:val="105"/>
        </w:rPr>
        <w:t>leisure activities (Roshanaei­ Moghaddam,</w:t>
      </w:r>
      <w:r>
        <w:rPr>
          <w:w w:val="105"/>
        </w:rPr>
        <w:t> Katon, &amp; Russo, 2009). This reverse relationship has been studied</w:t>
      </w:r>
      <w:r>
        <w:rPr>
          <w:w w:val="105"/>
        </w:rPr>
        <w:t> both cross-sectionally and longitudinally, although</w:t>
      </w:r>
      <w:r>
        <w:rPr>
          <w:spacing w:val="40"/>
          <w:w w:val="105"/>
        </w:rPr>
        <w:t> </w:t>
      </w:r>
      <w:r>
        <w:rPr>
          <w:w w:val="105"/>
        </w:rPr>
        <w:t>longitudinal studies evaluating whether chronic pain leads to</w:t>
      </w:r>
      <w:r>
        <w:rPr>
          <w:spacing w:val="-7"/>
          <w:w w:val="105"/>
        </w:rPr>
        <w:t> </w:t>
      </w:r>
      <w:r>
        <w:rPr>
          <w:w w:val="105"/>
        </w:rPr>
        <w:t>a decrease in leisure followed</w:t>
      </w:r>
      <w:r>
        <w:rPr>
          <w:spacing w:val="37"/>
          <w:w w:val="105"/>
        </w:rPr>
        <w:t> </w:t>
      </w:r>
      <w:r>
        <w:rPr>
          <w:w w:val="105"/>
        </w:rPr>
        <w:t>by symptoms of</w:t>
      </w:r>
      <w:r>
        <w:rPr>
          <w:spacing w:val="-8"/>
          <w:w w:val="105"/>
        </w:rPr>
        <w:t> </w:t>
      </w:r>
      <w:r>
        <w:rPr>
          <w:w w:val="105"/>
        </w:rPr>
        <w:t>depression</w:t>
      </w:r>
      <w:r>
        <w:rPr>
          <w:spacing w:val="27"/>
          <w:w w:val="105"/>
        </w:rPr>
        <w:t> </w:t>
      </w:r>
      <w:r>
        <w:rPr>
          <w:w w:val="105"/>
        </w:rPr>
        <w:t>are </w:t>
      </w:r>
      <w:r>
        <w:rPr>
          <w:spacing w:val="-2"/>
          <w:w w:val="105"/>
        </w:rPr>
        <w:t>lacking.</w:t>
      </w:r>
    </w:p>
    <w:p>
      <w:pPr>
        <w:pStyle w:val="BodyText"/>
        <w:spacing w:line="494" w:lineRule="auto"/>
        <w:ind w:left="510" w:right="144" w:firstLine="698"/>
      </w:pPr>
      <w:r>
        <w:rPr>
          <w:w w:val="105"/>
        </w:rPr>
        <w:t>As</w:t>
      </w:r>
      <w:r>
        <w:rPr>
          <w:spacing w:val="-7"/>
          <w:w w:val="105"/>
        </w:rPr>
        <w:t> </w:t>
      </w:r>
      <w:r>
        <w:rPr>
          <w:w w:val="105"/>
        </w:rPr>
        <w:t>stated</w:t>
      </w:r>
      <w:r>
        <w:rPr>
          <w:spacing w:val="35"/>
          <w:w w:val="105"/>
        </w:rPr>
        <w:t> </w:t>
      </w:r>
      <w:r>
        <w:rPr>
          <w:w w:val="105"/>
        </w:rPr>
        <w:t>by occupational</w:t>
      </w:r>
      <w:r>
        <w:rPr>
          <w:spacing w:val="36"/>
          <w:w w:val="105"/>
        </w:rPr>
        <w:t> </w:t>
      </w:r>
      <w:r>
        <w:rPr>
          <w:w w:val="105"/>
        </w:rPr>
        <w:t>therapists working with</w:t>
      </w:r>
      <w:r>
        <w:rPr>
          <w:spacing w:val="33"/>
          <w:w w:val="105"/>
        </w:rPr>
        <w:t> </w:t>
      </w:r>
      <w:r>
        <w:rPr>
          <w:w w:val="105"/>
        </w:rPr>
        <w:t>individuals who experience chronic pain in regards to living with this symptom, "The joys in life have disappeared" (Skjutar et</w:t>
      </w:r>
      <w:r>
        <w:rPr>
          <w:spacing w:val="-2"/>
          <w:w w:val="105"/>
        </w:rPr>
        <w:t> </w:t>
      </w:r>
      <w:r>
        <w:rPr>
          <w:w w:val="105"/>
        </w:rPr>
        <w:t>al., 2010, p. 98).</w:t>
      </w:r>
      <w:r>
        <w:rPr>
          <w:spacing w:val="40"/>
          <w:w w:val="105"/>
        </w:rPr>
        <w:t> </w:t>
      </w:r>
      <w:r>
        <w:rPr>
          <w:w w:val="105"/>
        </w:rPr>
        <w:t>Therapists also noted that when chronic pain symptoms become</w:t>
      </w:r>
      <w:r>
        <w:rPr>
          <w:spacing w:val="22"/>
          <w:w w:val="105"/>
        </w:rPr>
        <w:t> </w:t>
      </w:r>
      <w:r>
        <w:rPr>
          <w:w w:val="105"/>
        </w:rPr>
        <w:t>more</w:t>
      </w:r>
      <w:r>
        <w:rPr>
          <w:spacing w:val="16"/>
          <w:w w:val="105"/>
        </w:rPr>
        <w:t> </w:t>
      </w:r>
      <w:r>
        <w:rPr>
          <w:w w:val="105"/>
        </w:rPr>
        <w:t>severe,</w:t>
      </w:r>
      <w:r>
        <w:rPr>
          <w:spacing w:val="21"/>
          <w:w w:val="105"/>
        </w:rPr>
        <w:t> </w:t>
      </w:r>
      <w:r>
        <w:rPr>
          <w:w w:val="105"/>
        </w:rPr>
        <w:t>leisure</w:t>
      </w:r>
      <w:r>
        <w:rPr>
          <w:spacing w:val="-1"/>
          <w:w w:val="105"/>
        </w:rPr>
        <w:t> </w:t>
      </w:r>
      <w:r>
        <w:rPr>
          <w:w w:val="105"/>
        </w:rPr>
        <w:t>activities</w:t>
      </w:r>
      <w:r>
        <w:rPr>
          <w:spacing w:val="15"/>
          <w:w w:val="105"/>
        </w:rPr>
        <w:t> </w:t>
      </w:r>
      <w:r>
        <w:rPr>
          <w:w w:val="105"/>
        </w:rPr>
        <w:t>are the first</w:t>
      </w:r>
      <w:r>
        <w:rPr>
          <w:spacing w:val="16"/>
          <w:w w:val="105"/>
        </w:rPr>
        <w:t> </w:t>
      </w:r>
      <w:r>
        <w:rPr>
          <w:w w:val="105"/>
        </w:rPr>
        <w:t>ones to</w:t>
      </w:r>
      <w:r>
        <w:rPr>
          <w:spacing w:val="17"/>
          <w:w w:val="105"/>
        </w:rPr>
        <w:t> </w:t>
      </w:r>
      <w:r>
        <w:rPr>
          <w:w w:val="105"/>
        </w:rPr>
        <w:t>be</w:t>
      </w:r>
      <w:r>
        <w:rPr>
          <w:spacing w:val="-1"/>
          <w:w w:val="105"/>
        </w:rPr>
        <w:t> </w:t>
      </w:r>
      <w:r>
        <w:rPr>
          <w:w w:val="105"/>
        </w:rPr>
        <w:t>eliminated</w:t>
      </w:r>
      <w:r>
        <w:rPr>
          <w:spacing w:val="34"/>
          <w:w w:val="105"/>
        </w:rPr>
        <w:t> </w:t>
      </w:r>
      <w:r>
        <w:rPr>
          <w:w w:val="105"/>
        </w:rPr>
        <w:t>(Skjutar et al.,</w:t>
      </w:r>
      <w:r>
        <w:rPr>
          <w:w w:val="105"/>
        </w:rPr>
        <w:t> 20</w:t>
      </w:r>
      <w:r>
        <w:rPr>
          <w:spacing w:val="-25"/>
          <w:w w:val="105"/>
        </w:rPr>
        <w:t> </w:t>
      </w:r>
      <w:r>
        <w:rPr/>
        <w:t>I</w:t>
      </w:r>
      <w:r>
        <w:rPr>
          <w:spacing w:val="-16"/>
        </w:rPr>
        <w:t> </w:t>
      </w:r>
      <w:r>
        <w:rPr>
          <w:w w:val="105"/>
        </w:rPr>
        <w:t>0).</w:t>
      </w:r>
      <w:r>
        <w:rPr>
          <w:spacing w:val="-15"/>
          <w:w w:val="105"/>
        </w:rPr>
        <w:t> </w:t>
      </w:r>
      <w:r>
        <w:rPr>
          <w:w w:val="105"/>
        </w:rPr>
        <w:t>There</w:t>
      </w:r>
      <w:r>
        <w:rPr>
          <w:spacing w:val="-7"/>
          <w:w w:val="105"/>
        </w:rPr>
        <w:t> </w:t>
      </w:r>
      <w:r>
        <w:rPr>
          <w:w w:val="105"/>
        </w:rPr>
        <w:t>are</w:t>
      </w:r>
      <w:r>
        <w:rPr>
          <w:spacing w:val="-8"/>
          <w:w w:val="105"/>
        </w:rPr>
        <w:t> </w:t>
      </w:r>
      <w:r>
        <w:rPr>
          <w:w w:val="105"/>
        </w:rPr>
        <w:t>a number</w:t>
      </w:r>
      <w:r>
        <w:rPr>
          <w:spacing w:val="-1"/>
          <w:w w:val="105"/>
        </w:rPr>
        <w:t> </w:t>
      </w:r>
      <w:r>
        <w:rPr>
          <w:w w:val="105"/>
        </w:rPr>
        <w:t>of</w:t>
      </w:r>
      <w:r>
        <w:rPr>
          <w:spacing w:val="-3"/>
          <w:w w:val="105"/>
        </w:rPr>
        <w:t> </w:t>
      </w:r>
      <w:r>
        <w:rPr>
          <w:w w:val="105"/>
        </w:rPr>
        <w:t>proposed</w:t>
      </w:r>
      <w:r>
        <w:rPr>
          <w:spacing w:val="17"/>
          <w:w w:val="105"/>
        </w:rPr>
        <w:t> </w:t>
      </w:r>
      <w:r>
        <w:rPr>
          <w:w w:val="105"/>
        </w:rPr>
        <w:t>treatment options to</w:t>
      </w:r>
      <w:r>
        <w:rPr>
          <w:spacing w:val="-4"/>
          <w:w w:val="105"/>
        </w:rPr>
        <w:t> </w:t>
      </w:r>
      <w:r>
        <w:rPr>
          <w:w w:val="105"/>
        </w:rPr>
        <w:t>help</w:t>
      </w:r>
      <w:r>
        <w:rPr>
          <w:spacing w:val="-2"/>
          <w:w w:val="105"/>
        </w:rPr>
        <w:t> </w:t>
      </w:r>
      <w:r>
        <w:rPr>
          <w:w w:val="105"/>
        </w:rPr>
        <w:t>increase the</w:t>
      </w:r>
      <w:r>
        <w:rPr>
          <w:spacing w:val="-6"/>
          <w:w w:val="105"/>
        </w:rPr>
        <w:t> </w:t>
      </w:r>
      <w:r>
        <w:rPr>
          <w:w w:val="105"/>
        </w:rPr>
        <w:t>time people diagnosed</w:t>
      </w:r>
      <w:r>
        <w:rPr>
          <w:spacing w:val="38"/>
          <w:w w:val="105"/>
        </w:rPr>
        <w:t> </w:t>
      </w:r>
      <w:r>
        <w:rPr>
          <w:w w:val="105"/>
        </w:rPr>
        <w:t>with FM spend on leisure activities. One of</w:t>
      </w:r>
      <w:r>
        <w:rPr>
          <w:spacing w:val="-1"/>
          <w:w w:val="105"/>
        </w:rPr>
        <w:t> </w:t>
      </w:r>
      <w:r>
        <w:rPr>
          <w:w w:val="105"/>
        </w:rPr>
        <w:t>the treatment options is</w:t>
      </w:r>
    </w:p>
    <w:p>
      <w:pPr>
        <w:spacing w:after="0" w:line="494" w:lineRule="auto"/>
        <w:sectPr>
          <w:headerReference w:type="default" r:id="rId20"/>
          <w:pgSz w:w="12470" w:h="15750"/>
          <w:pgMar w:header="1034" w:footer="0" w:top="1620" w:bottom="280" w:left="1760" w:right="1720"/>
        </w:sectPr>
      </w:pPr>
    </w:p>
    <w:p>
      <w:pPr>
        <w:pStyle w:val="BodyText"/>
        <w:spacing w:line="499" w:lineRule="auto" w:before="81"/>
        <w:ind w:left="482" w:right="212" w:firstLine="4"/>
      </w:pPr>
      <w:r>
        <w:rPr>
          <w:w w:val="105"/>
        </w:rPr>
        <w:t>occupational</w:t>
      </w:r>
      <w:r>
        <w:rPr>
          <w:w w:val="105"/>
        </w:rPr>
        <w:t> therapy. When working</w:t>
      </w:r>
      <w:r>
        <w:rPr>
          <w:spacing w:val="-4"/>
          <w:w w:val="105"/>
        </w:rPr>
        <w:t> </w:t>
      </w:r>
      <w:r>
        <w:rPr>
          <w:w w:val="105"/>
        </w:rPr>
        <w:t>with</w:t>
      </w:r>
      <w:r>
        <w:rPr>
          <w:spacing w:val="-2"/>
          <w:w w:val="105"/>
        </w:rPr>
        <w:t> </w:t>
      </w:r>
      <w:r>
        <w:rPr>
          <w:w w:val="105"/>
        </w:rPr>
        <w:t>occupational</w:t>
      </w:r>
      <w:r>
        <w:rPr>
          <w:spacing w:val="15"/>
          <w:w w:val="105"/>
        </w:rPr>
        <w:t> </w:t>
      </w:r>
      <w:r>
        <w:rPr>
          <w:w w:val="105"/>
        </w:rPr>
        <w:t>therapists, individuals</w:t>
      </w:r>
      <w:r>
        <w:rPr>
          <w:spacing w:val="-4"/>
          <w:w w:val="105"/>
        </w:rPr>
        <w:t> </w:t>
      </w:r>
      <w:r>
        <w:rPr>
          <w:w w:val="105"/>
        </w:rPr>
        <w:t>can work on resuming old activities that they used to engage</w:t>
      </w:r>
      <w:r>
        <w:rPr>
          <w:w w:val="105"/>
        </w:rPr>
        <w:t> in before the</w:t>
      </w:r>
      <w:r>
        <w:rPr>
          <w:spacing w:val="-5"/>
          <w:w w:val="105"/>
        </w:rPr>
        <w:t> </w:t>
      </w:r>
      <w:r>
        <w:rPr>
          <w:w w:val="105"/>
        </w:rPr>
        <w:t>chronic pain took over their lives or find new ones (Skjutar et al., 2010).</w:t>
      </w:r>
    </w:p>
    <w:p>
      <w:pPr>
        <w:pStyle w:val="BodyText"/>
        <w:spacing w:line="494" w:lineRule="auto"/>
        <w:ind w:left="500" w:right="128" w:firstLine="684"/>
      </w:pPr>
      <w:r>
        <w:rPr>
          <w:w w:val="105"/>
        </w:rPr>
        <w:t>Another way</w:t>
      </w:r>
      <w:r>
        <w:rPr>
          <w:spacing w:val="-6"/>
          <w:w w:val="105"/>
        </w:rPr>
        <w:t> </w:t>
      </w:r>
      <w:r>
        <w:rPr>
          <w:w w:val="105"/>
        </w:rPr>
        <w:t>to</w:t>
      </w:r>
      <w:r>
        <w:rPr>
          <w:spacing w:val="-10"/>
          <w:w w:val="105"/>
        </w:rPr>
        <w:t> </w:t>
      </w:r>
      <w:r>
        <w:rPr>
          <w:w w:val="105"/>
        </w:rPr>
        <w:t>help</w:t>
      </w:r>
      <w:r>
        <w:rPr>
          <w:spacing w:val="-8"/>
          <w:w w:val="105"/>
        </w:rPr>
        <w:t> </w:t>
      </w:r>
      <w:r>
        <w:rPr>
          <w:w w:val="105"/>
        </w:rPr>
        <w:t>those</w:t>
      </w:r>
      <w:r>
        <w:rPr>
          <w:spacing w:val="-2"/>
          <w:w w:val="105"/>
        </w:rPr>
        <w:t> </w:t>
      </w:r>
      <w:r>
        <w:rPr>
          <w:w w:val="105"/>
        </w:rPr>
        <w:t>diagnosed</w:t>
      </w:r>
      <w:r>
        <w:rPr>
          <w:spacing w:val="16"/>
          <w:w w:val="105"/>
        </w:rPr>
        <w:t> </w:t>
      </w:r>
      <w:r>
        <w:rPr>
          <w:w w:val="105"/>
        </w:rPr>
        <w:t>with FM</w:t>
      </w:r>
      <w:r>
        <w:rPr>
          <w:spacing w:val="18"/>
          <w:w w:val="105"/>
        </w:rPr>
        <w:t> </w:t>
      </w:r>
      <w:r>
        <w:rPr>
          <w:w w:val="105"/>
        </w:rPr>
        <w:t>increase the</w:t>
      </w:r>
      <w:r>
        <w:rPr>
          <w:spacing w:val="-3"/>
          <w:w w:val="105"/>
        </w:rPr>
        <w:t> </w:t>
      </w:r>
      <w:r>
        <w:rPr>
          <w:w w:val="105"/>
        </w:rPr>
        <w:t>level of</w:t>
      </w:r>
      <w:r>
        <w:rPr>
          <w:spacing w:val="-13"/>
          <w:w w:val="105"/>
        </w:rPr>
        <w:t> </w:t>
      </w:r>
      <w:r>
        <w:rPr>
          <w:w w:val="105"/>
        </w:rPr>
        <w:t>engagement</w:t>
      </w:r>
      <w:r>
        <w:rPr>
          <w:spacing w:val="23"/>
          <w:w w:val="105"/>
        </w:rPr>
        <w:t> </w:t>
      </w:r>
      <w:r>
        <w:rPr>
          <w:w w:val="105"/>
        </w:rPr>
        <w:t>in pleasurable</w:t>
      </w:r>
      <w:r>
        <w:rPr>
          <w:spacing w:val="19"/>
          <w:w w:val="105"/>
        </w:rPr>
        <w:t> </w:t>
      </w:r>
      <w:r>
        <w:rPr>
          <w:w w:val="105"/>
        </w:rPr>
        <w:t>activities</w:t>
      </w:r>
      <w:r>
        <w:rPr>
          <w:spacing w:val="23"/>
          <w:w w:val="105"/>
        </w:rPr>
        <w:t> </w:t>
      </w:r>
      <w:r>
        <w:rPr>
          <w:w w:val="105"/>
        </w:rPr>
        <w:t>is to increase their</w:t>
      </w:r>
      <w:r>
        <w:rPr>
          <w:spacing w:val="23"/>
          <w:w w:val="105"/>
        </w:rPr>
        <w:t> </w:t>
      </w:r>
      <w:r>
        <w:rPr>
          <w:w w:val="105"/>
        </w:rPr>
        <w:t>level of</w:t>
      </w:r>
      <w:r>
        <w:rPr>
          <w:spacing w:val="-1"/>
          <w:w w:val="105"/>
        </w:rPr>
        <w:t> </w:t>
      </w:r>
      <w:r>
        <w:rPr>
          <w:w w:val="105"/>
        </w:rPr>
        <w:t>everyday activities. Sandstrom</w:t>
      </w:r>
      <w:r>
        <w:rPr>
          <w:spacing w:val="30"/>
          <w:w w:val="105"/>
        </w:rPr>
        <w:t> </w:t>
      </w:r>
      <w:r>
        <w:rPr>
          <w:w w:val="105"/>
        </w:rPr>
        <w:t>and</w:t>
      </w:r>
      <w:r>
        <w:rPr>
          <w:w w:val="105"/>
        </w:rPr>
        <w:t> Keefe (1998) note that by increasing general</w:t>
      </w:r>
      <w:r>
        <w:rPr>
          <w:w w:val="105"/>
        </w:rPr>
        <w:t> activity level and fitness, individuals with FM were able to increase the</w:t>
      </w:r>
      <w:r>
        <w:rPr>
          <w:spacing w:val="-1"/>
          <w:w w:val="105"/>
        </w:rPr>
        <w:t> </w:t>
      </w:r>
      <w:r>
        <w:rPr>
          <w:w w:val="105"/>
        </w:rPr>
        <w:t>amount of time they spend</w:t>
      </w:r>
      <w:r>
        <w:rPr>
          <w:spacing w:val="33"/>
          <w:w w:val="105"/>
        </w:rPr>
        <w:t> </w:t>
      </w:r>
      <w:r>
        <w:rPr>
          <w:w w:val="105"/>
        </w:rPr>
        <w:t>in leisure activities.</w:t>
      </w:r>
    </w:p>
    <w:p>
      <w:pPr>
        <w:pStyle w:val="BodyText"/>
        <w:spacing w:line="494" w:lineRule="auto"/>
        <w:ind w:left="491" w:right="212" w:firstLine="711"/>
      </w:pPr>
      <w:r>
        <w:rPr>
          <w:w w:val="105"/>
        </w:rPr>
        <w:t>When talking about the effects of leisure activities on individuals with chronic pain, it is important to include research on individuals diagnosed</w:t>
      </w:r>
      <w:r>
        <w:rPr>
          <w:spacing w:val="31"/>
          <w:w w:val="105"/>
        </w:rPr>
        <w:t> </w:t>
      </w:r>
      <w:r>
        <w:rPr>
          <w:w w:val="105"/>
        </w:rPr>
        <w:t>with rheumatoid arthritis (RA), where chronic</w:t>
      </w:r>
      <w:r>
        <w:rPr>
          <w:spacing w:val="36"/>
          <w:w w:val="105"/>
        </w:rPr>
        <w:t> </w:t>
      </w:r>
      <w:r>
        <w:rPr>
          <w:w w:val="105"/>
        </w:rPr>
        <w:t>pain is</w:t>
      </w:r>
      <w:r>
        <w:rPr>
          <w:spacing w:val="-6"/>
          <w:w w:val="105"/>
        </w:rPr>
        <w:t> </w:t>
      </w:r>
      <w:r>
        <w:rPr>
          <w:w w:val="105"/>
        </w:rPr>
        <w:t>a central symptom. For example,</w:t>
      </w:r>
      <w:r>
        <w:rPr>
          <w:spacing w:val="35"/>
          <w:w w:val="105"/>
        </w:rPr>
        <w:t> </w:t>
      </w:r>
      <w:r>
        <w:rPr>
          <w:w w:val="105"/>
        </w:rPr>
        <w:t>in people diagnosed</w:t>
      </w:r>
      <w:r>
        <w:rPr>
          <w:w w:val="105"/>
        </w:rPr>
        <w:t> with RA,</w:t>
      </w:r>
      <w:r>
        <w:rPr>
          <w:spacing w:val="-6"/>
          <w:w w:val="105"/>
        </w:rPr>
        <w:t> </w:t>
      </w:r>
      <w:r>
        <w:rPr>
          <w:w w:val="105"/>
        </w:rPr>
        <w:t>there was</w:t>
      </w:r>
      <w:r>
        <w:rPr>
          <w:spacing w:val="-12"/>
          <w:w w:val="105"/>
        </w:rPr>
        <w:t> </w:t>
      </w:r>
      <w:r>
        <w:rPr>
          <w:w w:val="105"/>
        </w:rPr>
        <w:t>a link between the inability</w:t>
      </w:r>
      <w:r>
        <w:rPr>
          <w:spacing w:val="-2"/>
          <w:w w:val="105"/>
        </w:rPr>
        <w:t> </w:t>
      </w:r>
      <w:r>
        <w:rPr>
          <w:w w:val="105"/>
        </w:rPr>
        <w:t>to</w:t>
      </w:r>
      <w:r>
        <w:rPr>
          <w:spacing w:val="-10"/>
          <w:w w:val="105"/>
        </w:rPr>
        <w:t> </w:t>
      </w:r>
      <w:r>
        <w:rPr>
          <w:w w:val="105"/>
        </w:rPr>
        <w:t>engage in leisure</w:t>
      </w:r>
      <w:r>
        <w:rPr>
          <w:spacing w:val="-3"/>
          <w:w w:val="105"/>
        </w:rPr>
        <w:t> </w:t>
      </w:r>
      <w:r>
        <w:rPr>
          <w:w w:val="105"/>
        </w:rPr>
        <w:t>activities and an onset of depressive symptoms (Katz &amp; Yelin, 2001). In addition, there is</w:t>
      </w:r>
      <w:r>
        <w:rPr>
          <w:spacing w:val="-1"/>
          <w:w w:val="105"/>
        </w:rPr>
        <w:t> </w:t>
      </w:r>
      <w:r>
        <w:rPr>
          <w:w w:val="105"/>
        </w:rPr>
        <w:t>some evidence that the inability of</w:t>
      </w:r>
      <w:r>
        <w:rPr>
          <w:spacing w:val="-2"/>
          <w:w w:val="105"/>
        </w:rPr>
        <w:t> </w:t>
      </w:r>
      <w:r>
        <w:rPr>
          <w:w w:val="105"/>
        </w:rPr>
        <w:t>those diagnosed with RA to</w:t>
      </w:r>
      <w:r>
        <w:rPr>
          <w:spacing w:val="-2"/>
          <w:w w:val="105"/>
        </w:rPr>
        <w:t> </w:t>
      </w:r>
      <w:r>
        <w:rPr>
          <w:w w:val="105"/>
        </w:rPr>
        <w:t>engage in highly valued</w:t>
      </w:r>
    </w:p>
    <w:p>
      <w:pPr>
        <w:pStyle w:val="BodyText"/>
        <w:spacing w:line="494" w:lineRule="auto"/>
        <w:ind w:left="506" w:right="105" w:hanging="5"/>
      </w:pPr>
      <w:r>
        <w:rPr>
          <w:w w:val="105"/>
        </w:rPr>
        <w:t>activities, including leisure</w:t>
      </w:r>
      <w:r>
        <w:rPr>
          <w:spacing w:val="-2"/>
          <w:w w:val="105"/>
        </w:rPr>
        <w:t> </w:t>
      </w:r>
      <w:r>
        <w:rPr>
          <w:w w:val="105"/>
        </w:rPr>
        <w:t>activities, may</w:t>
      </w:r>
      <w:r>
        <w:rPr>
          <w:spacing w:val="-5"/>
          <w:w w:val="105"/>
        </w:rPr>
        <w:t> </w:t>
      </w:r>
      <w:r>
        <w:rPr>
          <w:w w:val="105"/>
        </w:rPr>
        <w:t>contribute to</w:t>
      </w:r>
      <w:r>
        <w:rPr>
          <w:spacing w:val="-6"/>
          <w:w w:val="105"/>
        </w:rPr>
        <w:t> </w:t>
      </w:r>
      <w:r>
        <w:rPr>
          <w:w w:val="105"/>
        </w:rPr>
        <w:t>developing depressive symptoms. Depressed</w:t>
      </w:r>
      <w:r>
        <w:rPr>
          <w:spacing w:val="21"/>
          <w:w w:val="105"/>
        </w:rPr>
        <w:t> </w:t>
      </w:r>
      <w:r>
        <w:rPr>
          <w:w w:val="105"/>
        </w:rPr>
        <w:t>individuals diagnosed</w:t>
      </w:r>
      <w:r>
        <w:rPr>
          <w:w w:val="105"/>
        </w:rPr>
        <w:t> with RA reported</w:t>
      </w:r>
      <w:r>
        <w:rPr>
          <w:w w:val="105"/>
        </w:rPr>
        <w:t> being</w:t>
      </w:r>
      <w:r>
        <w:rPr>
          <w:spacing w:val="-6"/>
          <w:w w:val="105"/>
        </w:rPr>
        <w:t> </w:t>
      </w:r>
      <w:r>
        <w:rPr>
          <w:w w:val="105"/>
        </w:rPr>
        <w:t>able</w:t>
      </w:r>
      <w:r>
        <w:rPr>
          <w:spacing w:val="-1"/>
          <w:w w:val="105"/>
        </w:rPr>
        <w:t> </w:t>
      </w:r>
      <w:r>
        <w:rPr>
          <w:w w:val="105"/>
        </w:rPr>
        <w:t>to</w:t>
      </w:r>
      <w:r>
        <w:rPr>
          <w:spacing w:val="-2"/>
          <w:w w:val="105"/>
        </w:rPr>
        <w:t> </w:t>
      </w:r>
      <w:r>
        <w:rPr>
          <w:w w:val="105"/>
        </w:rPr>
        <w:t>perform</w:t>
      </w:r>
      <w:r>
        <w:rPr>
          <w:spacing w:val="21"/>
          <w:w w:val="105"/>
        </w:rPr>
        <w:t> </w:t>
      </w:r>
      <w:r>
        <w:rPr>
          <w:w w:val="105"/>
        </w:rPr>
        <w:t>fewer activities than non-depressed</w:t>
      </w:r>
      <w:r>
        <w:rPr>
          <w:spacing w:val="40"/>
          <w:w w:val="105"/>
        </w:rPr>
        <w:t> </w:t>
      </w:r>
      <w:r>
        <w:rPr>
          <w:w w:val="105"/>
        </w:rPr>
        <w:t>individuals diagnosed</w:t>
      </w:r>
      <w:r>
        <w:rPr>
          <w:spacing w:val="32"/>
          <w:w w:val="105"/>
        </w:rPr>
        <w:t> </w:t>
      </w:r>
      <w:r>
        <w:rPr>
          <w:w w:val="105"/>
        </w:rPr>
        <w:t>with RA. It was unclear whether the</w:t>
      </w:r>
      <w:r>
        <w:rPr>
          <w:spacing w:val="-1"/>
          <w:w w:val="105"/>
        </w:rPr>
        <w:t> </w:t>
      </w:r>
      <w:r>
        <w:rPr>
          <w:w w:val="105"/>
        </w:rPr>
        <w:t>deficit</w:t>
      </w:r>
      <w:r>
        <w:rPr>
          <w:w w:val="105"/>
        </w:rPr>
        <w:t> in activities was the result or the cause of the onset of the depressive symptoms (Katz &amp; Yelin, 1994), again highlighting the need for longitudinal</w:t>
      </w:r>
      <w:r>
        <w:rPr>
          <w:w w:val="105"/>
        </w:rPr>
        <w:t> data.</w:t>
      </w:r>
    </w:p>
    <w:p>
      <w:pPr>
        <w:pStyle w:val="BodyText"/>
        <w:spacing w:line="494" w:lineRule="auto" w:before="9"/>
        <w:ind w:left="505" w:right="212" w:firstLine="701"/>
      </w:pPr>
      <w:r>
        <w:rPr>
          <w:w w:val="105"/>
        </w:rPr>
        <w:t>People diagnosed</w:t>
      </w:r>
      <w:r>
        <w:rPr>
          <w:w w:val="105"/>
        </w:rPr>
        <w:t> with FM often experience a reduction</w:t>
      </w:r>
      <w:r>
        <w:rPr>
          <w:spacing w:val="35"/>
          <w:w w:val="105"/>
        </w:rPr>
        <w:t> </w:t>
      </w:r>
      <w:r>
        <w:rPr>
          <w:w w:val="105"/>
        </w:rPr>
        <w:t>in participation</w:t>
      </w:r>
      <w:r>
        <w:rPr>
          <w:spacing w:val="40"/>
          <w:w w:val="105"/>
        </w:rPr>
        <w:t> </w:t>
      </w:r>
      <w:r>
        <w:rPr>
          <w:w w:val="105"/>
        </w:rPr>
        <w:t>in enjoyable activities (Bernard et al., 2000). Participation</w:t>
      </w:r>
      <w:r>
        <w:rPr>
          <w:spacing w:val="39"/>
          <w:w w:val="105"/>
        </w:rPr>
        <w:t> </w:t>
      </w:r>
      <w:r>
        <w:rPr>
          <w:w w:val="105"/>
        </w:rPr>
        <w:t>in these activities is associated with increased</w:t>
      </w:r>
      <w:r>
        <w:rPr>
          <w:w w:val="105"/>
        </w:rPr>
        <w:t> positive mood and quality of life,</w:t>
      </w:r>
      <w:r>
        <w:rPr>
          <w:spacing w:val="-2"/>
          <w:w w:val="105"/>
        </w:rPr>
        <w:t> </w:t>
      </w:r>
      <w:r>
        <w:rPr>
          <w:w w:val="105"/>
        </w:rPr>
        <w:t>as</w:t>
      </w:r>
      <w:r>
        <w:rPr>
          <w:spacing w:val="-6"/>
          <w:w w:val="105"/>
        </w:rPr>
        <w:t> </w:t>
      </w:r>
      <w:r>
        <w:rPr>
          <w:w w:val="105"/>
        </w:rPr>
        <w:t>well as</w:t>
      </w:r>
      <w:r>
        <w:rPr>
          <w:spacing w:val="-5"/>
          <w:w w:val="105"/>
        </w:rPr>
        <w:t> </w:t>
      </w:r>
      <w:r>
        <w:rPr>
          <w:w w:val="105"/>
        </w:rPr>
        <w:t>pain inhibition or</w:t>
      </w:r>
      <w:r>
        <w:rPr>
          <w:spacing w:val="-6"/>
          <w:w w:val="105"/>
        </w:rPr>
        <w:t> </w:t>
      </w:r>
      <w:r>
        <w:rPr>
          <w:w w:val="105"/>
        </w:rPr>
        <w:t>a reduction in perception of pain (Baldwin &amp; Tinsley,</w:t>
      </w:r>
      <w:r>
        <w:rPr>
          <w:w w:val="105"/>
        </w:rPr>
        <w:t> 1988; Pressman et al., 2009; Tinsley &amp; Eldredge, 1995; Wuytack &amp;</w:t>
      </w:r>
      <w:r>
        <w:rPr>
          <w:spacing w:val="-4"/>
          <w:w w:val="105"/>
        </w:rPr>
        <w:t> </w:t>
      </w:r>
      <w:r>
        <w:rPr>
          <w:w w:val="105"/>
        </w:rPr>
        <w:t>Miller, 2011). By</w:t>
      </w:r>
      <w:r>
        <w:rPr>
          <w:spacing w:val="-5"/>
          <w:w w:val="105"/>
        </w:rPr>
        <w:t> </w:t>
      </w:r>
      <w:r>
        <w:rPr>
          <w:w w:val="105"/>
        </w:rPr>
        <w:t>connecting these</w:t>
      </w:r>
      <w:r>
        <w:rPr>
          <w:spacing w:val="-4"/>
          <w:w w:val="105"/>
        </w:rPr>
        <w:t> </w:t>
      </w:r>
      <w:r>
        <w:rPr>
          <w:w w:val="105"/>
        </w:rPr>
        <w:t>two</w:t>
      </w:r>
      <w:r>
        <w:rPr>
          <w:spacing w:val="-7"/>
          <w:w w:val="105"/>
        </w:rPr>
        <w:t> </w:t>
      </w:r>
      <w:r>
        <w:rPr>
          <w:w w:val="105"/>
        </w:rPr>
        <w:t>findings, it</w:t>
      </w:r>
      <w:r>
        <w:rPr>
          <w:spacing w:val="-5"/>
          <w:w w:val="105"/>
        </w:rPr>
        <w:t> </w:t>
      </w:r>
      <w:r>
        <w:rPr>
          <w:w w:val="105"/>
        </w:rPr>
        <w:t>could be</w:t>
      </w:r>
    </w:p>
    <w:p>
      <w:pPr>
        <w:spacing w:after="0" w:line="494" w:lineRule="auto"/>
        <w:sectPr>
          <w:headerReference w:type="default" r:id="rId21"/>
          <w:pgSz w:w="12490" w:h="15780"/>
          <w:pgMar w:header="1039" w:footer="0" w:top="1620" w:bottom="280" w:left="1760" w:right="1740"/>
        </w:sectPr>
      </w:pPr>
    </w:p>
    <w:p>
      <w:pPr>
        <w:pStyle w:val="BodyText"/>
        <w:spacing w:line="491" w:lineRule="auto" w:before="85"/>
        <w:ind w:left="463" w:right="144" w:hanging="6"/>
      </w:pPr>
      <w:r>
        <w:rPr/>
        <w:t>concluded</w:t>
      </w:r>
      <w:r>
        <w:rPr>
          <w:spacing w:val="39"/>
        </w:rPr>
        <w:t> </w:t>
      </w:r>
      <w:r>
        <w:rPr/>
        <w:t>that</w:t>
      </w:r>
      <w:r>
        <w:rPr>
          <w:spacing w:val="34"/>
        </w:rPr>
        <w:t> </w:t>
      </w:r>
      <w:r>
        <w:rPr/>
        <w:t>individuals</w:t>
      </w:r>
      <w:r>
        <w:rPr>
          <w:spacing w:val="33"/>
        </w:rPr>
        <w:t> </w:t>
      </w:r>
      <w:r>
        <w:rPr/>
        <w:t>with</w:t>
      </w:r>
      <w:r>
        <w:rPr>
          <w:spacing w:val="40"/>
        </w:rPr>
        <w:t> </w:t>
      </w:r>
      <w:r>
        <w:rPr/>
        <w:t>FM</w:t>
      </w:r>
      <w:r>
        <w:rPr>
          <w:spacing w:val="38"/>
        </w:rPr>
        <w:t> </w:t>
      </w:r>
      <w:r>
        <w:rPr/>
        <w:t>may</w:t>
      </w:r>
      <w:r>
        <w:rPr>
          <w:spacing w:val="22"/>
        </w:rPr>
        <w:t> </w:t>
      </w:r>
      <w:r>
        <w:rPr/>
        <w:t>experience</w:t>
      </w:r>
      <w:r>
        <w:rPr>
          <w:spacing w:val="26"/>
        </w:rPr>
        <w:t> </w:t>
      </w:r>
      <w:r>
        <w:rPr/>
        <w:t>an</w:t>
      </w:r>
      <w:r>
        <w:rPr>
          <w:spacing w:val="39"/>
        </w:rPr>
        <w:t> </w:t>
      </w:r>
      <w:r>
        <w:rPr/>
        <w:t>increase</w:t>
      </w:r>
      <w:r>
        <w:rPr>
          <w:spacing w:val="36"/>
        </w:rPr>
        <w:t> </w:t>
      </w:r>
      <w:r>
        <w:rPr/>
        <w:t>in</w:t>
      </w:r>
      <w:r>
        <w:rPr>
          <w:spacing w:val="26"/>
        </w:rPr>
        <w:t> </w:t>
      </w:r>
      <w:r>
        <w:rPr/>
        <w:t>their</w:t>
      </w:r>
      <w:r>
        <w:rPr>
          <w:spacing w:val="32"/>
        </w:rPr>
        <w:t> </w:t>
      </w:r>
      <w:r>
        <w:rPr/>
        <w:t>pain</w:t>
      </w:r>
      <w:r>
        <w:rPr>
          <w:spacing w:val="32"/>
        </w:rPr>
        <w:t> </w:t>
      </w:r>
      <w:r>
        <w:rPr/>
        <w:t>symptoms</w:t>
      </w:r>
      <w:r>
        <w:rPr>
          <w:spacing w:val="38"/>
        </w:rPr>
        <w:t> </w:t>
      </w:r>
      <w:r>
        <w:rPr/>
        <w:t>if they</w:t>
      </w:r>
      <w:r>
        <w:rPr>
          <w:spacing w:val="40"/>
        </w:rPr>
        <w:t> </w:t>
      </w:r>
      <w:r>
        <w:rPr/>
        <w:t>reduce</w:t>
      </w:r>
      <w:r>
        <w:rPr>
          <w:spacing w:val="40"/>
        </w:rPr>
        <w:t> </w:t>
      </w:r>
      <w:r>
        <w:rPr/>
        <w:t>their</w:t>
      </w:r>
      <w:r>
        <w:rPr>
          <w:spacing w:val="40"/>
        </w:rPr>
        <w:t> </w:t>
      </w:r>
      <w:r>
        <w:rPr/>
        <w:t>participation</w:t>
      </w:r>
      <w:r>
        <w:rPr>
          <w:spacing w:val="40"/>
        </w:rPr>
        <w:t> </w:t>
      </w:r>
      <w:r>
        <w:rPr/>
        <w:t>in</w:t>
      </w:r>
      <w:r>
        <w:rPr>
          <w:spacing w:val="40"/>
        </w:rPr>
        <w:t> </w:t>
      </w:r>
      <w:r>
        <w:rPr/>
        <w:t>leisure activities.</w:t>
      </w:r>
    </w:p>
    <w:p>
      <w:pPr>
        <w:pStyle w:val="BodyText"/>
        <w:spacing w:line="494" w:lineRule="auto" w:before="11"/>
        <w:ind w:left="462" w:right="212" w:firstLine="698"/>
      </w:pPr>
      <w:r>
        <w:rPr>
          <w:w w:val="105"/>
        </w:rPr>
        <w:t>A theoretical explanation</w:t>
      </w:r>
      <w:r>
        <w:rPr>
          <w:w w:val="105"/>
        </w:rPr>
        <w:t> exists</w:t>
      </w:r>
      <w:r>
        <w:rPr>
          <w:spacing w:val="-1"/>
          <w:w w:val="105"/>
        </w:rPr>
        <w:t> </w:t>
      </w:r>
      <w:r>
        <w:rPr>
          <w:w w:val="105"/>
        </w:rPr>
        <w:t>for</w:t>
      </w:r>
      <w:r>
        <w:rPr>
          <w:spacing w:val="-4"/>
          <w:w w:val="105"/>
        </w:rPr>
        <w:t> </w:t>
      </w:r>
      <w:r>
        <w:rPr>
          <w:w w:val="105"/>
        </w:rPr>
        <w:t>the psychological</w:t>
      </w:r>
      <w:r>
        <w:rPr>
          <w:spacing w:val="34"/>
          <w:w w:val="105"/>
        </w:rPr>
        <w:t> </w:t>
      </w:r>
      <w:r>
        <w:rPr>
          <w:w w:val="105"/>
        </w:rPr>
        <w:t>benefits of</w:t>
      </w:r>
      <w:r>
        <w:rPr>
          <w:spacing w:val="-1"/>
          <w:w w:val="105"/>
        </w:rPr>
        <w:t> </w:t>
      </w:r>
      <w:r>
        <w:rPr>
          <w:w w:val="105"/>
        </w:rPr>
        <w:t>leisure activities in individuals diagnosed with FM.</w:t>
      </w:r>
      <w:r>
        <w:rPr>
          <w:spacing w:val="-7"/>
          <w:w w:val="105"/>
        </w:rPr>
        <w:t> </w:t>
      </w:r>
      <w:r>
        <w:rPr>
          <w:w w:val="105"/>
        </w:rPr>
        <w:t>Engagement</w:t>
      </w:r>
      <w:r>
        <w:rPr>
          <w:spacing w:val="18"/>
          <w:w w:val="105"/>
        </w:rPr>
        <w:t> </w:t>
      </w:r>
      <w:r>
        <w:rPr>
          <w:w w:val="105"/>
        </w:rPr>
        <w:t>in recreational</w:t>
      </w:r>
      <w:r>
        <w:rPr>
          <w:spacing w:val="18"/>
          <w:w w:val="105"/>
        </w:rPr>
        <w:t> </w:t>
      </w:r>
      <w:r>
        <w:rPr>
          <w:w w:val="105"/>
        </w:rPr>
        <w:t>activities</w:t>
      </w:r>
      <w:r>
        <w:rPr>
          <w:spacing w:val="-4"/>
          <w:w w:val="105"/>
        </w:rPr>
        <w:t> </w:t>
      </w:r>
      <w:r>
        <w:rPr>
          <w:w w:val="105"/>
        </w:rPr>
        <w:t>could help</w:t>
      </w:r>
      <w:r>
        <w:rPr>
          <w:spacing w:val="-7"/>
          <w:w w:val="105"/>
        </w:rPr>
        <w:t> </w:t>
      </w:r>
      <w:r>
        <w:rPr>
          <w:w w:val="105"/>
        </w:rPr>
        <w:t>those experiencing the</w:t>
      </w:r>
      <w:r>
        <w:rPr>
          <w:spacing w:val="-2"/>
          <w:w w:val="105"/>
        </w:rPr>
        <w:t> </w:t>
      </w:r>
      <w:r>
        <w:rPr>
          <w:w w:val="105"/>
        </w:rPr>
        <w:t>effects of FM stay in control</w:t>
      </w:r>
      <w:r>
        <w:rPr>
          <w:spacing w:val="38"/>
          <w:w w:val="105"/>
        </w:rPr>
        <w:t> </w:t>
      </w:r>
      <w:r>
        <w:rPr>
          <w:w w:val="105"/>
        </w:rPr>
        <w:t>instead of letting the</w:t>
      </w:r>
      <w:r>
        <w:rPr>
          <w:spacing w:val="-1"/>
          <w:w w:val="105"/>
        </w:rPr>
        <w:t> </w:t>
      </w:r>
      <w:r>
        <w:rPr>
          <w:w w:val="105"/>
        </w:rPr>
        <w:t>disorder and pain control different aspects</w:t>
      </w:r>
      <w:r>
        <w:rPr>
          <w:spacing w:val="-4"/>
          <w:w w:val="105"/>
        </w:rPr>
        <w:t> </w:t>
      </w:r>
      <w:r>
        <w:rPr>
          <w:w w:val="105"/>
        </w:rPr>
        <w:t>of their lives (Mannerkorpi,</w:t>
      </w:r>
      <w:r>
        <w:rPr>
          <w:spacing w:val="33"/>
          <w:w w:val="105"/>
        </w:rPr>
        <w:t> </w:t>
      </w:r>
      <w:r>
        <w:rPr>
          <w:w w:val="105"/>
        </w:rPr>
        <w:t>Kroksmark, &amp; Ekdahl, 1999). This proposition</w:t>
      </w:r>
      <w:r>
        <w:rPr>
          <w:spacing w:val="23"/>
          <w:w w:val="105"/>
        </w:rPr>
        <w:t> </w:t>
      </w:r>
      <w:r>
        <w:rPr>
          <w:w w:val="105"/>
        </w:rPr>
        <w:t>is</w:t>
      </w:r>
      <w:r>
        <w:rPr>
          <w:spacing w:val="-9"/>
          <w:w w:val="105"/>
        </w:rPr>
        <w:t> </w:t>
      </w:r>
      <w:r>
        <w:rPr>
          <w:w w:val="105"/>
        </w:rPr>
        <w:t>supported</w:t>
      </w:r>
      <w:r>
        <w:rPr>
          <w:spacing w:val="18"/>
          <w:w w:val="105"/>
        </w:rPr>
        <w:t> </w:t>
      </w:r>
      <w:r>
        <w:rPr>
          <w:w w:val="105"/>
        </w:rPr>
        <w:t>by</w:t>
      </w:r>
      <w:r>
        <w:rPr>
          <w:spacing w:val="-13"/>
          <w:w w:val="105"/>
        </w:rPr>
        <w:t> </w:t>
      </w:r>
      <w:r>
        <w:rPr>
          <w:w w:val="105"/>
        </w:rPr>
        <w:t>a</w:t>
      </w:r>
      <w:r>
        <w:rPr>
          <w:spacing w:val="-13"/>
          <w:w w:val="105"/>
        </w:rPr>
        <w:t> </w:t>
      </w:r>
      <w:r>
        <w:rPr>
          <w:w w:val="105"/>
        </w:rPr>
        <w:t>study where</w:t>
      </w:r>
      <w:r>
        <w:rPr>
          <w:spacing w:val="-2"/>
          <w:w w:val="105"/>
        </w:rPr>
        <w:t> </w:t>
      </w:r>
      <w:r>
        <w:rPr>
          <w:w w:val="105"/>
        </w:rPr>
        <w:t>there was</w:t>
      </w:r>
      <w:r>
        <w:rPr>
          <w:spacing w:val="-13"/>
          <w:w w:val="105"/>
        </w:rPr>
        <w:t> </w:t>
      </w:r>
      <w:r>
        <w:rPr>
          <w:w w:val="105"/>
        </w:rPr>
        <w:t>a</w:t>
      </w:r>
      <w:r>
        <w:rPr>
          <w:spacing w:val="-4"/>
          <w:w w:val="105"/>
        </w:rPr>
        <w:t> </w:t>
      </w:r>
      <w:r>
        <w:rPr>
          <w:w w:val="105"/>
        </w:rPr>
        <w:t>strong</w:t>
      </w:r>
      <w:r>
        <w:rPr>
          <w:spacing w:val="-2"/>
          <w:w w:val="105"/>
        </w:rPr>
        <w:t> </w:t>
      </w:r>
      <w:r>
        <w:rPr>
          <w:w w:val="105"/>
        </w:rPr>
        <w:t>association found</w:t>
      </w:r>
      <w:r>
        <w:rPr>
          <w:spacing w:val="16"/>
          <w:w w:val="105"/>
        </w:rPr>
        <w:t> </w:t>
      </w:r>
      <w:r>
        <w:rPr>
          <w:w w:val="105"/>
        </w:rPr>
        <w:t>between a role loss or</w:t>
      </w:r>
      <w:r>
        <w:rPr>
          <w:spacing w:val="-5"/>
          <w:w w:val="105"/>
        </w:rPr>
        <w:t> </w:t>
      </w:r>
      <w:r>
        <w:rPr>
          <w:w w:val="105"/>
        </w:rPr>
        <w:t>a loss</w:t>
      </w:r>
      <w:r>
        <w:rPr>
          <w:spacing w:val="-2"/>
          <w:w w:val="105"/>
        </w:rPr>
        <w:t> </w:t>
      </w:r>
      <w:r>
        <w:rPr>
          <w:w w:val="105"/>
        </w:rPr>
        <w:t>of</w:t>
      </w:r>
      <w:r>
        <w:rPr>
          <w:spacing w:val="-5"/>
          <w:w w:val="105"/>
        </w:rPr>
        <w:t> </w:t>
      </w:r>
      <w:r>
        <w:rPr>
          <w:w w:val="105"/>
        </w:rPr>
        <w:t>control and depressive symptoms</w:t>
      </w:r>
      <w:r>
        <w:rPr>
          <w:spacing w:val="29"/>
          <w:w w:val="105"/>
        </w:rPr>
        <w:t> </w:t>
      </w:r>
      <w:r>
        <w:rPr>
          <w:w w:val="105"/>
        </w:rPr>
        <w:t>in persons with FM. In fact, researchers concluded that inability to</w:t>
      </w:r>
      <w:r>
        <w:rPr>
          <w:spacing w:val="-5"/>
          <w:w w:val="105"/>
        </w:rPr>
        <w:t> </w:t>
      </w:r>
      <w:r>
        <w:rPr>
          <w:w w:val="105"/>
        </w:rPr>
        <w:t>engage in pleasurable activities may result in perceived helplessness</w:t>
      </w:r>
      <w:r>
        <w:rPr>
          <w:w w:val="105"/>
        </w:rPr>
        <w:t> leading to depression (Palomino et al., 2007).</w:t>
      </w:r>
    </w:p>
    <w:p>
      <w:pPr>
        <w:pStyle w:val="BodyText"/>
        <w:spacing w:before="7"/>
        <w:ind w:left="2587"/>
      </w:pPr>
      <w:r>
        <w:rPr>
          <w:w w:val="105"/>
          <w:u w:val="thick"/>
        </w:rPr>
        <w:t>Chronic</w:t>
      </w:r>
      <w:r>
        <w:rPr>
          <w:spacing w:val="6"/>
          <w:w w:val="105"/>
          <w:u w:val="thick"/>
        </w:rPr>
        <w:t> </w:t>
      </w:r>
      <w:r>
        <w:rPr>
          <w:w w:val="105"/>
          <w:u w:val="thick"/>
        </w:rPr>
        <w:t>Pain, Leisure</w:t>
      </w:r>
      <w:r>
        <w:rPr>
          <w:spacing w:val="3"/>
          <w:w w:val="105"/>
          <w:u w:val="thick"/>
        </w:rPr>
        <w:t> </w:t>
      </w:r>
      <w:r>
        <w:rPr>
          <w:w w:val="105"/>
          <w:u w:val="thick"/>
        </w:rPr>
        <w:t>Activities.</w:t>
      </w:r>
      <w:r>
        <w:rPr>
          <w:spacing w:val="-2"/>
          <w:w w:val="105"/>
          <w:u w:val="thick"/>
        </w:rPr>
        <w:t> </w:t>
      </w:r>
      <w:r>
        <w:rPr>
          <w:w w:val="105"/>
          <w:u w:val="thick"/>
        </w:rPr>
        <w:t>and</w:t>
      </w:r>
      <w:r>
        <w:rPr>
          <w:spacing w:val="6"/>
          <w:w w:val="105"/>
          <w:u w:val="thick"/>
        </w:rPr>
        <w:t> </w:t>
      </w:r>
      <w:r>
        <w:rPr>
          <w:spacing w:val="-2"/>
          <w:w w:val="105"/>
          <w:u w:val="thick"/>
        </w:rPr>
        <w:t>Depression</w:t>
      </w:r>
    </w:p>
    <w:p>
      <w:pPr>
        <w:pStyle w:val="BodyText"/>
        <w:spacing w:before="8"/>
      </w:pPr>
    </w:p>
    <w:p>
      <w:pPr>
        <w:pStyle w:val="BodyText"/>
        <w:spacing w:line="496" w:lineRule="auto"/>
        <w:ind w:left="467" w:firstLine="693"/>
      </w:pPr>
      <w:r>
        <w:rPr>
          <w:w w:val="105"/>
        </w:rPr>
        <w:t>The prevalence</w:t>
      </w:r>
      <w:r>
        <w:rPr>
          <w:w w:val="105"/>
        </w:rPr>
        <w:t> rates</w:t>
      </w:r>
      <w:r>
        <w:rPr>
          <w:spacing w:val="-7"/>
          <w:w w:val="105"/>
        </w:rPr>
        <w:t> </w:t>
      </w:r>
      <w:r>
        <w:rPr>
          <w:w w:val="105"/>
        </w:rPr>
        <w:t>of</w:t>
      </w:r>
      <w:r>
        <w:rPr>
          <w:spacing w:val="-14"/>
          <w:w w:val="105"/>
        </w:rPr>
        <w:t> </w:t>
      </w:r>
      <w:r>
        <w:rPr>
          <w:w w:val="105"/>
        </w:rPr>
        <w:t>co-occurring major</w:t>
      </w:r>
      <w:r>
        <w:rPr>
          <w:spacing w:val="-3"/>
          <w:w w:val="105"/>
        </w:rPr>
        <w:t> </w:t>
      </w:r>
      <w:r>
        <w:rPr>
          <w:w w:val="105"/>
        </w:rPr>
        <w:t>depression</w:t>
      </w:r>
      <w:r>
        <w:rPr>
          <w:w w:val="105"/>
        </w:rPr>
        <w:t> in individuals</w:t>
      </w:r>
      <w:r>
        <w:rPr>
          <w:spacing w:val="-2"/>
          <w:w w:val="105"/>
        </w:rPr>
        <w:t> </w:t>
      </w:r>
      <w:r>
        <w:rPr>
          <w:w w:val="105"/>
        </w:rPr>
        <w:t>experiencing chronic pain range from</w:t>
      </w:r>
      <w:r>
        <w:rPr>
          <w:w w:val="105"/>
        </w:rPr>
        <w:t> 13% to 85%</w:t>
      </w:r>
      <w:r>
        <w:rPr>
          <w:spacing w:val="-2"/>
          <w:w w:val="105"/>
        </w:rPr>
        <w:t> </w:t>
      </w:r>
      <w:r>
        <w:rPr>
          <w:w w:val="105"/>
        </w:rPr>
        <w:t>(Bair, Robinson, Katon, &amp; Kroenke, 2003).</w:t>
      </w:r>
    </w:p>
    <w:p>
      <w:pPr>
        <w:pStyle w:val="BodyText"/>
        <w:spacing w:line="494" w:lineRule="auto"/>
        <w:ind w:left="467" w:right="212" w:firstLine="1"/>
      </w:pPr>
      <w:r>
        <w:rPr>
          <w:w w:val="105"/>
        </w:rPr>
        <w:t>Therefore,</w:t>
      </w:r>
      <w:r>
        <w:rPr>
          <w:w w:val="105"/>
        </w:rPr>
        <w:t> it is necessary to investigate</w:t>
      </w:r>
      <w:r>
        <w:rPr>
          <w:w w:val="105"/>
        </w:rPr>
        <w:t> further the relationship</w:t>
      </w:r>
      <w:r>
        <w:rPr>
          <w:w w:val="105"/>
        </w:rPr>
        <w:t> between these two symptoms and possible mediating factors.</w:t>
      </w:r>
      <w:r>
        <w:rPr>
          <w:spacing w:val="40"/>
          <w:w w:val="105"/>
        </w:rPr>
        <w:t> </w:t>
      </w:r>
      <w:r>
        <w:rPr>
          <w:w w:val="105"/>
        </w:rPr>
        <w:t>In a</w:t>
      </w:r>
      <w:r>
        <w:rPr>
          <w:w w:val="105"/>
        </w:rPr>
        <w:t> meta-analysis of</w:t>
      </w:r>
      <w:r>
        <w:rPr>
          <w:spacing w:val="-5"/>
          <w:w w:val="105"/>
        </w:rPr>
        <w:t> </w:t>
      </w:r>
      <w:r>
        <w:rPr>
          <w:w w:val="105"/>
        </w:rPr>
        <w:t>several studies, Tunks, Crook, and</w:t>
      </w:r>
      <w:r>
        <w:rPr>
          <w:w w:val="105"/>
        </w:rPr>
        <w:t> Weir (2008) found that the association</w:t>
      </w:r>
      <w:r>
        <w:rPr>
          <w:spacing w:val="40"/>
          <w:w w:val="105"/>
        </w:rPr>
        <w:t> </w:t>
      </w:r>
      <w:r>
        <w:rPr>
          <w:w w:val="105"/>
        </w:rPr>
        <w:t>between disorders characterized</w:t>
      </w:r>
      <w:r>
        <w:rPr>
          <w:spacing w:val="40"/>
          <w:w w:val="105"/>
        </w:rPr>
        <w:t> </w:t>
      </w:r>
      <w:r>
        <w:rPr>
          <w:w w:val="105"/>
        </w:rPr>
        <w:t>by chronic pain and depression</w:t>
      </w:r>
      <w:r>
        <w:rPr>
          <w:w w:val="105"/>
        </w:rPr>
        <w:t> becomes stronger over time. The authors explain this phenomenon</w:t>
      </w:r>
      <w:r>
        <w:rPr>
          <w:spacing w:val="36"/>
          <w:w w:val="105"/>
        </w:rPr>
        <w:t> </w:t>
      </w:r>
      <w:r>
        <w:rPr>
          <w:w w:val="105"/>
        </w:rPr>
        <w:t>in terms</w:t>
      </w:r>
      <w:r>
        <w:rPr>
          <w:spacing w:val="-5"/>
          <w:w w:val="105"/>
        </w:rPr>
        <w:t> </w:t>
      </w:r>
      <w:r>
        <w:rPr>
          <w:w w:val="105"/>
        </w:rPr>
        <w:t>of</w:t>
      </w:r>
      <w:r>
        <w:rPr>
          <w:spacing w:val="-8"/>
          <w:w w:val="105"/>
        </w:rPr>
        <w:t> </w:t>
      </w:r>
      <w:r>
        <w:rPr>
          <w:w w:val="105"/>
        </w:rPr>
        <w:t>a possibility of increased</w:t>
      </w:r>
      <w:r>
        <w:rPr>
          <w:w w:val="105"/>
        </w:rPr>
        <w:t> stress</w:t>
      </w:r>
      <w:r>
        <w:rPr>
          <w:spacing w:val="-6"/>
          <w:w w:val="105"/>
        </w:rPr>
        <w:t> </w:t>
      </w:r>
      <w:r>
        <w:rPr>
          <w:w w:val="105"/>
        </w:rPr>
        <w:t>associated with pain leading to increased emotional distress.</w:t>
      </w:r>
      <w:r>
        <w:rPr>
          <w:spacing w:val="-9"/>
          <w:w w:val="105"/>
        </w:rPr>
        <w:t> </w:t>
      </w:r>
      <w:r>
        <w:rPr>
          <w:w w:val="105"/>
        </w:rPr>
        <w:t>Moreover,</w:t>
      </w:r>
      <w:r>
        <w:rPr>
          <w:spacing w:val="15"/>
          <w:w w:val="105"/>
        </w:rPr>
        <w:t> </w:t>
      </w:r>
      <w:r>
        <w:rPr>
          <w:w w:val="105"/>
        </w:rPr>
        <w:t>it</w:t>
      </w:r>
      <w:r>
        <w:rPr>
          <w:spacing w:val="-1"/>
          <w:w w:val="105"/>
        </w:rPr>
        <w:t> </w:t>
      </w:r>
      <w:r>
        <w:rPr>
          <w:w w:val="105"/>
        </w:rPr>
        <w:t>was</w:t>
      </w:r>
      <w:r>
        <w:rPr>
          <w:spacing w:val="-11"/>
          <w:w w:val="105"/>
        </w:rPr>
        <w:t> </w:t>
      </w:r>
      <w:r>
        <w:rPr>
          <w:w w:val="105"/>
        </w:rPr>
        <w:t>concluded that mood disorders, including major depression, are 2 to 7</w:t>
      </w:r>
      <w:r>
        <w:rPr>
          <w:spacing w:val="-5"/>
          <w:w w:val="105"/>
        </w:rPr>
        <w:t> </w:t>
      </w:r>
      <w:r>
        <w:rPr>
          <w:w w:val="105"/>
        </w:rPr>
        <w:t>times more common</w:t>
      </w:r>
      <w:r>
        <w:rPr>
          <w:spacing w:val="40"/>
          <w:w w:val="105"/>
        </w:rPr>
        <w:t> </w:t>
      </w:r>
      <w:r>
        <w:rPr>
          <w:w w:val="105"/>
        </w:rPr>
        <w:t>in</w:t>
      </w:r>
      <w:r>
        <w:rPr>
          <w:w w:val="105"/>
        </w:rPr>
        <w:t> individuals experiencing chronic pain. Furthermore, the severity of depressive symptoms appears to be amplified</w:t>
      </w:r>
      <w:r>
        <w:rPr>
          <w:spacing w:val="39"/>
          <w:w w:val="105"/>
        </w:rPr>
        <w:t> </w:t>
      </w:r>
      <w:r>
        <w:rPr>
          <w:w w:val="105"/>
        </w:rPr>
        <w:t>with increased severity of chronic pain (Tunks et al., 2008).</w:t>
      </w:r>
    </w:p>
    <w:p>
      <w:pPr>
        <w:spacing w:after="0" w:line="494" w:lineRule="auto"/>
        <w:sectPr>
          <w:headerReference w:type="default" r:id="rId22"/>
          <w:pgSz w:w="12450" w:h="15760"/>
          <w:pgMar w:header="1025" w:footer="0" w:top="1620" w:bottom="280" w:left="1760" w:right="1700"/>
        </w:sectPr>
      </w:pPr>
    </w:p>
    <w:p>
      <w:pPr>
        <w:pStyle w:val="BodyText"/>
        <w:spacing w:line="496" w:lineRule="auto" w:before="81"/>
        <w:ind w:left="486" w:right="212" w:firstLine="711"/>
      </w:pPr>
      <w:r>
        <w:rPr>
          <w:w w:val="105"/>
        </w:rPr>
        <w:t>While it is evident that there is</w:t>
      </w:r>
      <w:r>
        <w:rPr>
          <w:spacing w:val="-4"/>
          <w:w w:val="105"/>
        </w:rPr>
        <w:t> </w:t>
      </w:r>
      <w:r>
        <w:rPr>
          <w:w w:val="105"/>
        </w:rPr>
        <w:t>a strong association</w:t>
      </w:r>
      <w:r>
        <w:rPr>
          <w:spacing w:val="35"/>
          <w:w w:val="105"/>
        </w:rPr>
        <w:t> </w:t>
      </w:r>
      <w:r>
        <w:rPr>
          <w:w w:val="105"/>
        </w:rPr>
        <w:t>between chronic pain and depressive symptoms, the latter</w:t>
      </w:r>
      <w:r>
        <w:rPr>
          <w:spacing w:val="-2"/>
          <w:w w:val="105"/>
        </w:rPr>
        <w:t> </w:t>
      </w:r>
      <w:r>
        <w:rPr>
          <w:w w:val="105"/>
        </w:rPr>
        <w:t>condition</w:t>
      </w:r>
      <w:r>
        <w:rPr>
          <w:spacing w:val="21"/>
          <w:w w:val="105"/>
        </w:rPr>
        <w:t> </w:t>
      </w:r>
      <w:r>
        <w:rPr>
          <w:w w:val="105"/>
        </w:rPr>
        <w:t>is</w:t>
      </w:r>
      <w:r>
        <w:rPr>
          <w:spacing w:val="-2"/>
          <w:w w:val="105"/>
        </w:rPr>
        <w:t> </w:t>
      </w:r>
      <w:r>
        <w:rPr>
          <w:w w:val="105"/>
        </w:rPr>
        <w:t>not</w:t>
      </w:r>
      <w:r>
        <w:rPr>
          <w:spacing w:val="-7"/>
          <w:w w:val="105"/>
        </w:rPr>
        <w:t> </w:t>
      </w:r>
      <w:r>
        <w:rPr>
          <w:w w:val="105"/>
        </w:rPr>
        <w:t>always</w:t>
      </w:r>
      <w:r>
        <w:rPr>
          <w:spacing w:val="-8"/>
          <w:w w:val="105"/>
        </w:rPr>
        <w:t> </w:t>
      </w:r>
      <w:r>
        <w:rPr>
          <w:w w:val="105"/>
        </w:rPr>
        <w:t>accurately diagnosed</w:t>
      </w:r>
      <w:r>
        <w:rPr>
          <w:spacing w:val="20"/>
          <w:w w:val="105"/>
        </w:rPr>
        <w:t> </w:t>
      </w:r>
      <w:r>
        <w:rPr>
          <w:w w:val="105"/>
        </w:rPr>
        <w:t>in</w:t>
      </w:r>
      <w:r>
        <w:rPr>
          <w:spacing w:val="-1"/>
          <w:w w:val="105"/>
        </w:rPr>
        <w:t> </w:t>
      </w:r>
      <w:r>
        <w:rPr>
          <w:w w:val="105"/>
        </w:rPr>
        <w:t>clinical settings. This</w:t>
      </w:r>
      <w:r>
        <w:rPr>
          <w:spacing w:val="-6"/>
          <w:w w:val="105"/>
        </w:rPr>
        <w:t> </w:t>
      </w:r>
      <w:r>
        <w:rPr>
          <w:w w:val="105"/>
        </w:rPr>
        <w:t>could be</w:t>
      </w:r>
      <w:r>
        <w:rPr>
          <w:spacing w:val="-6"/>
          <w:w w:val="105"/>
        </w:rPr>
        <w:t> </w:t>
      </w:r>
      <w:r>
        <w:rPr>
          <w:w w:val="105"/>
        </w:rPr>
        <w:t>explained</w:t>
      </w:r>
      <w:r>
        <w:rPr>
          <w:spacing w:val="37"/>
          <w:w w:val="105"/>
        </w:rPr>
        <w:t> </w:t>
      </w:r>
      <w:r>
        <w:rPr>
          <w:w w:val="105"/>
        </w:rPr>
        <w:t>by the fact that people tend to focus on physical symptoms and leave</w:t>
      </w:r>
      <w:r>
        <w:rPr>
          <w:spacing w:val="-9"/>
          <w:w w:val="105"/>
        </w:rPr>
        <w:t> </w:t>
      </w:r>
      <w:r>
        <w:rPr>
          <w:w w:val="105"/>
        </w:rPr>
        <w:t>out the</w:t>
      </w:r>
      <w:r>
        <w:rPr>
          <w:spacing w:val="-1"/>
          <w:w w:val="105"/>
        </w:rPr>
        <w:t> </w:t>
      </w:r>
      <w:r>
        <w:rPr>
          <w:w w:val="105"/>
        </w:rPr>
        <w:t>psychological</w:t>
      </w:r>
      <w:r>
        <w:rPr>
          <w:spacing w:val="23"/>
          <w:w w:val="105"/>
        </w:rPr>
        <w:t> </w:t>
      </w:r>
      <w:r>
        <w:rPr>
          <w:w w:val="105"/>
        </w:rPr>
        <w:t>ones when conferring with physicians. Such inaccurate diagnosis and failure to</w:t>
      </w:r>
      <w:r>
        <w:rPr>
          <w:spacing w:val="-2"/>
          <w:w w:val="105"/>
        </w:rPr>
        <w:t> </w:t>
      </w:r>
      <w:r>
        <w:rPr>
          <w:w w:val="105"/>
        </w:rPr>
        <w:t>treat the psychological</w:t>
      </w:r>
      <w:r>
        <w:rPr>
          <w:w w:val="105"/>
        </w:rPr>
        <w:t> symptoms could</w:t>
      </w:r>
      <w:r>
        <w:rPr>
          <w:w w:val="105"/>
        </w:rPr>
        <w:t> lead to an undesirable change in the course of the disorder. Therefore,</w:t>
      </w:r>
      <w:r>
        <w:rPr>
          <w:spacing w:val="30"/>
          <w:w w:val="105"/>
        </w:rPr>
        <w:t> </w:t>
      </w:r>
      <w:r>
        <w:rPr>
          <w:w w:val="105"/>
        </w:rPr>
        <w:t>it is</w:t>
      </w:r>
      <w:r>
        <w:rPr>
          <w:spacing w:val="-2"/>
          <w:w w:val="105"/>
        </w:rPr>
        <w:t> </w:t>
      </w:r>
      <w:r>
        <w:rPr>
          <w:w w:val="105"/>
        </w:rPr>
        <w:t>necessary to carefully examine both physiological</w:t>
      </w:r>
      <w:r>
        <w:rPr>
          <w:spacing w:val="32"/>
          <w:w w:val="105"/>
        </w:rPr>
        <w:t> </w:t>
      </w:r>
      <w:r>
        <w:rPr>
          <w:w w:val="105"/>
        </w:rPr>
        <w:t>and</w:t>
      </w:r>
      <w:r>
        <w:rPr>
          <w:w w:val="105"/>
        </w:rPr>
        <w:t> psychological</w:t>
      </w:r>
      <w:r>
        <w:rPr>
          <w:w w:val="105"/>
        </w:rPr>
        <w:t> factors associated</w:t>
      </w:r>
      <w:r>
        <w:rPr>
          <w:spacing w:val="34"/>
          <w:w w:val="105"/>
        </w:rPr>
        <w:t> </w:t>
      </w:r>
      <w:r>
        <w:rPr>
          <w:w w:val="105"/>
        </w:rPr>
        <w:t>with symptoms of chronic pain (Livingston</w:t>
      </w:r>
      <w:r>
        <w:rPr>
          <w:spacing w:val="40"/>
          <w:w w:val="105"/>
        </w:rPr>
        <w:t> </w:t>
      </w:r>
      <w:r>
        <w:rPr>
          <w:w w:val="105"/>
        </w:rPr>
        <w:t>et al., 2000; Ohayon, 2004).</w:t>
      </w:r>
    </w:p>
    <w:p>
      <w:pPr>
        <w:pStyle w:val="BodyText"/>
        <w:spacing w:line="494" w:lineRule="auto"/>
        <w:ind w:left="496" w:right="128" w:firstLine="701"/>
      </w:pPr>
      <w:r>
        <w:rPr>
          <w:w w:val="105"/>
        </w:rPr>
        <w:t>From a psychiatric standpoint, one recent research study found that, among patients admitted to</w:t>
      </w:r>
      <w:r>
        <w:rPr>
          <w:spacing w:val="-8"/>
          <w:w w:val="105"/>
        </w:rPr>
        <w:t> </w:t>
      </w:r>
      <w:r>
        <w:rPr>
          <w:w w:val="105"/>
        </w:rPr>
        <w:t>an outpatient clinic with FM, 47.6% were diagnosed</w:t>
      </w:r>
      <w:r>
        <w:rPr>
          <w:spacing w:val="34"/>
          <w:w w:val="105"/>
        </w:rPr>
        <w:t> </w:t>
      </w:r>
      <w:r>
        <w:rPr>
          <w:w w:val="105"/>
        </w:rPr>
        <w:t>with an Axis I disorder, with Major Depressive Disorder </w:t>
      </w:r>
      <w:r>
        <w:rPr>
          <w:b/>
          <w:w w:val="105"/>
        </w:rPr>
        <w:t>(MDD) </w:t>
      </w:r>
      <w:r>
        <w:rPr>
          <w:w w:val="105"/>
        </w:rPr>
        <w:t>being the most common (14.6% of diagnoses) (Uguz et al., 2010).</w:t>
      </w:r>
      <w:r>
        <w:rPr>
          <w:spacing w:val="40"/>
          <w:w w:val="105"/>
        </w:rPr>
        <w:t> </w:t>
      </w:r>
      <w:r>
        <w:rPr>
          <w:w w:val="105"/>
        </w:rPr>
        <w:t>This prevalence rate was not only higher than the rate observed</w:t>
      </w:r>
      <w:r>
        <w:rPr>
          <w:spacing w:val="20"/>
          <w:w w:val="105"/>
        </w:rPr>
        <w:t> </w:t>
      </w:r>
      <w:r>
        <w:rPr>
          <w:w w:val="105"/>
        </w:rPr>
        <w:t>in persons without FM, but it</w:t>
      </w:r>
      <w:r>
        <w:rPr>
          <w:spacing w:val="-2"/>
          <w:w w:val="105"/>
        </w:rPr>
        <w:t> </w:t>
      </w:r>
      <w:r>
        <w:rPr>
          <w:w w:val="105"/>
        </w:rPr>
        <w:t>was</w:t>
      </w:r>
      <w:r>
        <w:rPr>
          <w:spacing w:val="-14"/>
          <w:w w:val="105"/>
        </w:rPr>
        <w:t> </w:t>
      </w:r>
      <w:r>
        <w:rPr>
          <w:w w:val="105"/>
        </w:rPr>
        <w:t>also</w:t>
      </w:r>
      <w:r>
        <w:rPr>
          <w:spacing w:val="-6"/>
          <w:w w:val="105"/>
        </w:rPr>
        <w:t> </w:t>
      </w:r>
      <w:r>
        <w:rPr>
          <w:w w:val="105"/>
        </w:rPr>
        <w:t>found to be higher than</w:t>
      </w:r>
      <w:r>
        <w:rPr>
          <w:spacing w:val="-2"/>
          <w:w w:val="105"/>
        </w:rPr>
        <w:t> </w:t>
      </w:r>
      <w:r>
        <w:rPr>
          <w:w w:val="105"/>
        </w:rPr>
        <w:t>the</w:t>
      </w:r>
      <w:r>
        <w:rPr>
          <w:spacing w:val="-13"/>
          <w:w w:val="105"/>
        </w:rPr>
        <w:t> </w:t>
      </w:r>
      <w:r>
        <w:rPr>
          <w:w w:val="105"/>
        </w:rPr>
        <w:t>occurrence</w:t>
      </w:r>
      <w:r>
        <w:rPr>
          <w:w w:val="105"/>
        </w:rPr>
        <w:t> in the</w:t>
      </w:r>
      <w:r>
        <w:rPr>
          <w:spacing w:val="-1"/>
          <w:w w:val="105"/>
        </w:rPr>
        <w:t> </w:t>
      </w:r>
      <w:r>
        <w:rPr>
          <w:w w:val="105"/>
        </w:rPr>
        <w:t>general</w:t>
      </w:r>
      <w:r>
        <w:rPr>
          <w:spacing w:val="25"/>
          <w:w w:val="105"/>
        </w:rPr>
        <w:t> </w:t>
      </w:r>
      <w:r>
        <w:rPr>
          <w:w w:val="105"/>
        </w:rPr>
        <w:t>population (Uguz et</w:t>
      </w:r>
      <w:r>
        <w:rPr>
          <w:spacing w:val="-2"/>
          <w:w w:val="105"/>
        </w:rPr>
        <w:t> </w:t>
      </w:r>
      <w:r>
        <w:rPr>
          <w:w w:val="105"/>
        </w:rPr>
        <w:t>al.,</w:t>
      </w:r>
      <w:r>
        <w:rPr>
          <w:spacing w:val="-2"/>
          <w:w w:val="105"/>
        </w:rPr>
        <w:t> </w:t>
      </w:r>
      <w:r>
        <w:rPr>
          <w:w w:val="105"/>
        </w:rPr>
        <w:t>2010). People who already have</w:t>
      </w:r>
      <w:r>
        <w:rPr>
          <w:spacing w:val="-4"/>
          <w:w w:val="105"/>
        </w:rPr>
        <w:t> </w:t>
      </w:r>
      <w:r>
        <w:rPr>
          <w:w w:val="105"/>
        </w:rPr>
        <w:t>an FM diagnosis are more likely to be diagnosed</w:t>
      </w:r>
      <w:r>
        <w:rPr>
          <w:spacing w:val="29"/>
          <w:w w:val="105"/>
        </w:rPr>
        <w:t> </w:t>
      </w:r>
      <w:r>
        <w:rPr>
          <w:w w:val="105"/>
        </w:rPr>
        <w:t>with MDD than</w:t>
      </w:r>
      <w:r>
        <w:rPr>
          <w:spacing w:val="29"/>
          <w:w w:val="105"/>
        </w:rPr>
        <w:t> </w:t>
      </w:r>
      <w:r>
        <w:rPr>
          <w:w w:val="105"/>
        </w:rPr>
        <w:t>individuals diagnosed</w:t>
      </w:r>
      <w:r>
        <w:rPr>
          <w:spacing w:val="29"/>
          <w:w w:val="105"/>
        </w:rPr>
        <w:t> </w:t>
      </w:r>
      <w:r>
        <w:rPr>
          <w:w w:val="105"/>
        </w:rPr>
        <w:t>with</w:t>
      </w:r>
      <w:r>
        <w:rPr>
          <w:spacing w:val="23"/>
          <w:w w:val="105"/>
        </w:rPr>
        <w:t> </w:t>
      </w:r>
      <w:r>
        <w:rPr>
          <w:w w:val="105"/>
        </w:rPr>
        <w:t>RA or</w:t>
      </w:r>
      <w:r>
        <w:rPr>
          <w:w w:val="105"/>
        </w:rPr>
        <w:t> individuals without</w:t>
      </w:r>
      <w:r>
        <w:rPr>
          <w:w w:val="105"/>
        </w:rPr>
        <w:t> FM,</w:t>
      </w:r>
      <w:r>
        <w:rPr>
          <w:spacing w:val="-5"/>
          <w:w w:val="105"/>
        </w:rPr>
        <w:t> </w:t>
      </w:r>
      <w:r>
        <w:rPr>
          <w:w w:val="105"/>
        </w:rPr>
        <w:t>and those FM participants diagnosed</w:t>
      </w:r>
      <w:r>
        <w:rPr>
          <w:w w:val="105"/>
        </w:rPr>
        <w:t> with MDD</w:t>
      </w:r>
      <w:r>
        <w:rPr>
          <w:spacing w:val="-2"/>
          <w:w w:val="105"/>
        </w:rPr>
        <w:t> </w:t>
      </w:r>
      <w:r>
        <w:rPr>
          <w:w w:val="105"/>
        </w:rPr>
        <w:t>reported</w:t>
      </w:r>
      <w:r>
        <w:rPr>
          <w:spacing w:val="19"/>
          <w:w w:val="105"/>
        </w:rPr>
        <w:t> </w:t>
      </w:r>
      <w:r>
        <w:rPr>
          <w:w w:val="105"/>
        </w:rPr>
        <w:t>having difficulties engaging in daily activities that could</w:t>
      </w:r>
      <w:r>
        <w:rPr>
          <w:w w:val="105"/>
        </w:rPr>
        <w:t> include leisure activities (McBeth &amp; Silman, 2001).</w:t>
      </w:r>
    </w:p>
    <w:p>
      <w:pPr>
        <w:pStyle w:val="BodyText"/>
        <w:spacing w:line="494" w:lineRule="auto" w:before="9"/>
        <w:ind w:left="501" w:right="212" w:firstLine="703"/>
      </w:pPr>
      <w:r>
        <w:rPr>
          <w:w w:val="105"/>
        </w:rPr>
        <w:t>In fact, leisure activities may be a mediating factor between chronic pain and depression.</w:t>
      </w:r>
      <w:r>
        <w:rPr>
          <w:spacing w:val="-5"/>
          <w:w w:val="105"/>
        </w:rPr>
        <w:t> </w:t>
      </w:r>
      <w:r>
        <w:rPr>
          <w:w w:val="105"/>
        </w:rPr>
        <w:t>Since leisure time</w:t>
      </w:r>
      <w:r>
        <w:rPr>
          <w:spacing w:val="-7"/>
          <w:w w:val="105"/>
        </w:rPr>
        <w:t> </w:t>
      </w:r>
      <w:r>
        <w:rPr>
          <w:w w:val="105"/>
        </w:rPr>
        <w:t>activities have</w:t>
      </w:r>
      <w:r>
        <w:rPr>
          <w:spacing w:val="-1"/>
          <w:w w:val="105"/>
        </w:rPr>
        <w:t> </w:t>
      </w:r>
      <w:r>
        <w:rPr>
          <w:w w:val="105"/>
        </w:rPr>
        <w:t>been found to</w:t>
      </w:r>
      <w:r>
        <w:rPr>
          <w:spacing w:val="-15"/>
          <w:w w:val="105"/>
        </w:rPr>
        <w:t> </w:t>
      </w:r>
      <w:r>
        <w:rPr>
          <w:w w:val="105"/>
        </w:rPr>
        <w:t>create</w:t>
      </w:r>
      <w:r>
        <w:rPr>
          <w:spacing w:val="-1"/>
          <w:w w:val="105"/>
        </w:rPr>
        <w:t> </w:t>
      </w:r>
      <w:r>
        <w:rPr>
          <w:w w:val="105"/>
        </w:rPr>
        <w:t>a buffering</w:t>
      </w:r>
      <w:r>
        <w:rPr>
          <w:spacing w:val="-5"/>
          <w:w w:val="105"/>
        </w:rPr>
        <w:t> </w:t>
      </w:r>
      <w:r>
        <w:rPr>
          <w:w w:val="105"/>
        </w:rPr>
        <w:t>effect from life stressors, they also may be associated</w:t>
      </w:r>
      <w:r>
        <w:rPr>
          <w:w w:val="105"/>
        </w:rPr>
        <w:t> with lower levels of depression (lso-Ahola</w:t>
      </w:r>
      <w:r>
        <w:rPr>
          <w:w w:val="105"/>
        </w:rPr>
        <w:t> &amp; Park, 1996; Lu,</w:t>
      </w:r>
      <w:r>
        <w:rPr>
          <w:spacing w:val="-7"/>
          <w:w w:val="105"/>
        </w:rPr>
        <w:t> </w:t>
      </w:r>
      <w:r>
        <w:rPr>
          <w:w w:val="105"/>
        </w:rPr>
        <w:t>2011; Pressman et</w:t>
      </w:r>
      <w:r>
        <w:rPr>
          <w:spacing w:val="-6"/>
          <w:w w:val="105"/>
        </w:rPr>
        <w:t> </w:t>
      </w:r>
      <w:r>
        <w:rPr>
          <w:w w:val="105"/>
        </w:rPr>
        <w:t>al.,</w:t>
      </w:r>
      <w:r>
        <w:rPr>
          <w:spacing w:val="-5"/>
          <w:w w:val="105"/>
        </w:rPr>
        <w:t> </w:t>
      </w:r>
      <w:r>
        <w:rPr>
          <w:w w:val="105"/>
        </w:rPr>
        <w:t>2009). In individuals diagnosed</w:t>
      </w:r>
      <w:r>
        <w:rPr>
          <w:spacing w:val="23"/>
          <w:w w:val="105"/>
        </w:rPr>
        <w:t> </w:t>
      </w:r>
      <w:r>
        <w:rPr>
          <w:w w:val="105"/>
        </w:rPr>
        <w:t>with RA (chronic pain population), it was found that loss</w:t>
      </w:r>
      <w:r>
        <w:rPr>
          <w:spacing w:val="-4"/>
          <w:w w:val="105"/>
        </w:rPr>
        <w:t> </w:t>
      </w:r>
      <w:r>
        <w:rPr>
          <w:w w:val="105"/>
        </w:rPr>
        <w:t>of ability to</w:t>
      </w:r>
      <w:r>
        <w:rPr>
          <w:spacing w:val="-3"/>
          <w:w w:val="105"/>
        </w:rPr>
        <w:t> </w:t>
      </w:r>
      <w:r>
        <w:rPr>
          <w:w w:val="105"/>
        </w:rPr>
        <w:t>engage in valuable leisure time</w:t>
      </w:r>
    </w:p>
    <w:p>
      <w:pPr>
        <w:spacing w:after="0" w:line="494" w:lineRule="auto"/>
        <w:sectPr>
          <w:pgSz w:w="12450" w:h="15760"/>
          <w:pgMar w:header="1025" w:footer="0" w:top="1620" w:bottom="280" w:left="1760" w:right="1700"/>
        </w:sectPr>
      </w:pPr>
    </w:p>
    <w:p>
      <w:pPr>
        <w:pStyle w:val="BodyText"/>
        <w:spacing w:line="496" w:lineRule="auto" w:before="75"/>
        <w:ind w:left="486" w:right="136" w:firstLine="4"/>
      </w:pPr>
      <w:r>
        <w:rPr>
          <w:w w:val="105"/>
        </w:rPr>
        <w:t>activities was</w:t>
      </w:r>
      <w:r>
        <w:rPr>
          <w:spacing w:val="-4"/>
          <w:w w:val="105"/>
        </w:rPr>
        <w:t> </w:t>
      </w:r>
      <w:r>
        <w:rPr>
          <w:w w:val="105"/>
        </w:rPr>
        <w:t>associated</w:t>
      </w:r>
      <w:r>
        <w:rPr>
          <w:spacing w:val="27"/>
          <w:w w:val="105"/>
        </w:rPr>
        <w:t> </w:t>
      </w:r>
      <w:r>
        <w:rPr>
          <w:w w:val="105"/>
        </w:rPr>
        <w:t>with the</w:t>
      </w:r>
      <w:r>
        <w:rPr>
          <w:spacing w:val="-5"/>
          <w:w w:val="105"/>
        </w:rPr>
        <w:t> </w:t>
      </w:r>
      <w:r>
        <w:rPr>
          <w:w w:val="105"/>
        </w:rPr>
        <w:t>onset of</w:t>
      </w:r>
      <w:r>
        <w:rPr>
          <w:spacing w:val="-8"/>
          <w:w w:val="105"/>
        </w:rPr>
        <w:t> </w:t>
      </w:r>
      <w:r>
        <w:rPr>
          <w:w w:val="105"/>
        </w:rPr>
        <w:t>symptoms</w:t>
      </w:r>
      <w:r>
        <w:rPr>
          <w:spacing w:val="-2"/>
          <w:w w:val="105"/>
        </w:rPr>
        <w:t> </w:t>
      </w:r>
      <w:r>
        <w:rPr>
          <w:w w:val="105"/>
        </w:rPr>
        <w:t>of</w:t>
      </w:r>
      <w:r>
        <w:rPr>
          <w:spacing w:val="-5"/>
          <w:w w:val="105"/>
        </w:rPr>
        <w:t> </w:t>
      </w:r>
      <w:r>
        <w:rPr>
          <w:w w:val="105"/>
        </w:rPr>
        <w:t>depression (Katz &amp;</w:t>
      </w:r>
      <w:r>
        <w:rPr>
          <w:spacing w:val="-2"/>
          <w:w w:val="105"/>
        </w:rPr>
        <w:t> </w:t>
      </w:r>
      <w:r>
        <w:rPr>
          <w:w w:val="105"/>
        </w:rPr>
        <w:t>Yelin, 1994). In people diagnosed with FM, helplessness due to inability to perform</w:t>
      </w:r>
      <w:r>
        <w:rPr>
          <w:w w:val="105"/>
        </w:rPr>
        <w:t> regular daily activities, loss</w:t>
      </w:r>
      <w:r>
        <w:rPr>
          <w:spacing w:val="-2"/>
          <w:w w:val="105"/>
        </w:rPr>
        <w:t> </w:t>
      </w:r>
      <w:r>
        <w:rPr>
          <w:w w:val="105"/>
        </w:rPr>
        <w:t>of control, and role loss may be</w:t>
      </w:r>
      <w:r>
        <w:rPr>
          <w:spacing w:val="-1"/>
          <w:w w:val="105"/>
        </w:rPr>
        <w:t> </w:t>
      </w:r>
      <w:r>
        <w:rPr>
          <w:w w:val="105"/>
        </w:rPr>
        <w:t>the connection</w:t>
      </w:r>
      <w:r>
        <w:rPr>
          <w:w w:val="105"/>
        </w:rPr>
        <w:t> between depression and leisure activities (Palomino et al., 2007). While restrictions and a decrease in leisure activities may lead to the onset of</w:t>
      </w:r>
      <w:r>
        <w:rPr>
          <w:spacing w:val="-1"/>
          <w:w w:val="105"/>
        </w:rPr>
        <w:t> </w:t>
      </w:r>
      <w:r>
        <w:rPr>
          <w:w w:val="105"/>
        </w:rPr>
        <w:t>depressive symptoms in individuals diagnosed</w:t>
      </w:r>
      <w:r>
        <w:rPr>
          <w:spacing w:val="40"/>
          <w:w w:val="105"/>
        </w:rPr>
        <w:t> </w:t>
      </w:r>
      <w:r>
        <w:rPr>
          <w:w w:val="105"/>
        </w:rPr>
        <w:t>with FM, the depression</w:t>
      </w:r>
      <w:r>
        <w:rPr>
          <w:spacing w:val="37"/>
          <w:w w:val="105"/>
        </w:rPr>
        <w:t> </w:t>
      </w:r>
      <w:r>
        <w:rPr>
          <w:w w:val="105"/>
        </w:rPr>
        <w:t>might then lead to</w:t>
      </w:r>
      <w:r>
        <w:rPr>
          <w:spacing w:val="-2"/>
          <w:w w:val="105"/>
        </w:rPr>
        <w:t> </w:t>
      </w:r>
      <w:r>
        <w:rPr>
          <w:w w:val="105"/>
        </w:rPr>
        <w:t>an even further decrease in enjoyable activities, which creates a spiraling effect (Bernard et al., 2000).</w:t>
      </w:r>
    </w:p>
    <w:p>
      <w:pPr>
        <w:pStyle w:val="BodyText"/>
        <w:spacing w:line="494" w:lineRule="auto"/>
        <w:ind w:left="492" w:right="136" w:firstLine="697"/>
      </w:pPr>
      <w:r>
        <w:rPr>
          <w:w w:val="105"/>
        </w:rPr>
        <w:t>The direction of the relationship</w:t>
      </w:r>
      <w:r>
        <w:rPr>
          <w:spacing w:val="38"/>
          <w:w w:val="105"/>
        </w:rPr>
        <w:t> </w:t>
      </w:r>
      <w:r>
        <w:rPr>
          <w:w w:val="105"/>
        </w:rPr>
        <w:t>between chronic pain, leisure activities, and depression, however, is</w:t>
      </w:r>
      <w:r>
        <w:rPr>
          <w:spacing w:val="-7"/>
          <w:w w:val="105"/>
        </w:rPr>
        <w:t> </w:t>
      </w:r>
      <w:r>
        <w:rPr>
          <w:w w:val="105"/>
        </w:rPr>
        <w:t>not</w:t>
      </w:r>
      <w:r>
        <w:rPr>
          <w:spacing w:val="-6"/>
          <w:w w:val="105"/>
        </w:rPr>
        <w:t> </w:t>
      </w:r>
      <w:r>
        <w:rPr>
          <w:w w:val="105"/>
        </w:rPr>
        <w:t>entirely clear from previous research on individuals</w:t>
      </w:r>
      <w:r>
        <w:rPr>
          <w:w w:val="105"/>
        </w:rPr>
        <w:t> with FM. While some sources argue that a decrease in leisure activities leads to the onset of symptoms of</w:t>
      </w:r>
      <w:r>
        <w:rPr>
          <w:spacing w:val="-2"/>
          <w:w w:val="105"/>
        </w:rPr>
        <w:t> </w:t>
      </w:r>
      <w:r>
        <w:rPr>
          <w:w w:val="105"/>
        </w:rPr>
        <w:t>depression (Bernard et al., 2000; Katz &amp; Yelin, 200</w:t>
      </w:r>
      <w:r>
        <w:rPr>
          <w:spacing w:val="-30"/>
          <w:w w:val="105"/>
        </w:rPr>
        <w:t> </w:t>
      </w:r>
      <w:r>
        <w:rPr>
          <w:w w:val="105"/>
        </w:rPr>
        <w:t>I), others suggest different directionality (Allan, Johnston, Johnston, &amp; Mant, 2007; Elliott &amp; Shewchuk, 1995; Roshanaei-Moghaddam et al., 2009). For example,</w:t>
      </w:r>
      <w:r>
        <w:rPr>
          <w:spacing w:val="40"/>
          <w:w w:val="105"/>
        </w:rPr>
        <w:t> </w:t>
      </w:r>
      <w:r>
        <w:rPr>
          <w:w w:val="105"/>
        </w:rPr>
        <w:t>higher</w:t>
      </w:r>
      <w:r>
        <w:rPr>
          <w:spacing w:val="27"/>
          <w:w w:val="105"/>
        </w:rPr>
        <w:t> </w:t>
      </w:r>
      <w:r>
        <w:rPr>
          <w:w w:val="105"/>
        </w:rPr>
        <w:t>levels of depression</w:t>
      </w:r>
      <w:r>
        <w:rPr>
          <w:w w:val="105"/>
        </w:rPr>
        <w:t> were predictive of less involvement</w:t>
      </w:r>
      <w:r>
        <w:rPr>
          <w:spacing w:val="39"/>
          <w:w w:val="105"/>
        </w:rPr>
        <w:t> </w:t>
      </w:r>
      <w:r>
        <w:rPr>
          <w:w w:val="105"/>
        </w:rPr>
        <w:t>in leisure activities (Elliott &amp;</w:t>
      </w:r>
      <w:r>
        <w:rPr>
          <w:spacing w:val="-4"/>
          <w:w w:val="105"/>
        </w:rPr>
        <w:t> </w:t>
      </w:r>
      <w:r>
        <w:rPr>
          <w:w w:val="105"/>
        </w:rPr>
        <w:t>Shewchuk, 1995).</w:t>
      </w:r>
    </w:p>
    <w:p>
      <w:pPr>
        <w:pStyle w:val="BodyText"/>
        <w:spacing w:line="496" w:lineRule="auto" w:before="1"/>
        <w:ind w:left="516" w:right="136" w:hanging="15"/>
      </w:pPr>
      <w:r>
        <w:rPr>
          <w:w w:val="105"/>
        </w:rPr>
        <w:t>Therefore, it is</w:t>
      </w:r>
      <w:r>
        <w:rPr>
          <w:spacing w:val="-3"/>
          <w:w w:val="105"/>
        </w:rPr>
        <w:t> </w:t>
      </w:r>
      <w:r>
        <w:rPr>
          <w:w w:val="105"/>
        </w:rPr>
        <w:t>important to</w:t>
      </w:r>
      <w:r>
        <w:rPr>
          <w:spacing w:val="-3"/>
          <w:w w:val="105"/>
        </w:rPr>
        <w:t> </w:t>
      </w:r>
      <w:r>
        <w:rPr>
          <w:w w:val="105"/>
        </w:rPr>
        <w:t>explore the</w:t>
      </w:r>
      <w:r>
        <w:rPr>
          <w:spacing w:val="-4"/>
          <w:w w:val="105"/>
        </w:rPr>
        <w:t> </w:t>
      </w:r>
      <w:r>
        <w:rPr>
          <w:w w:val="105"/>
        </w:rPr>
        <w:t>relationship</w:t>
      </w:r>
      <w:r>
        <w:rPr>
          <w:spacing w:val="-1"/>
          <w:w w:val="105"/>
        </w:rPr>
        <w:t> </w:t>
      </w:r>
      <w:r>
        <w:rPr>
          <w:w w:val="105"/>
        </w:rPr>
        <w:t>to learn more</w:t>
      </w:r>
      <w:r>
        <w:rPr>
          <w:spacing w:val="-4"/>
          <w:w w:val="105"/>
        </w:rPr>
        <w:t> </w:t>
      </w:r>
      <w:r>
        <w:rPr>
          <w:w w:val="105"/>
        </w:rPr>
        <w:t>about the</w:t>
      </w:r>
      <w:r>
        <w:rPr>
          <w:spacing w:val="-8"/>
          <w:w w:val="105"/>
        </w:rPr>
        <w:t> </w:t>
      </w:r>
      <w:r>
        <w:rPr>
          <w:w w:val="105"/>
        </w:rPr>
        <w:t>direction of influence between leisure activities and depression.</w:t>
      </w:r>
    </w:p>
    <w:p>
      <w:pPr>
        <w:pStyle w:val="BodyText"/>
        <w:spacing w:line="244" w:lineRule="exact"/>
        <w:ind w:left="407"/>
        <w:jc w:val="center"/>
      </w:pPr>
      <w:r>
        <w:rPr>
          <w:w w:val="105"/>
          <w:u w:val="thick"/>
        </w:rPr>
        <w:t>Current</w:t>
      </w:r>
      <w:r>
        <w:rPr>
          <w:spacing w:val="-2"/>
          <w:w w:val="105"/>
          <w:u w:val="thick"/>
        </w:rPr>
        <w:t> Study</w:t>
      </w:r>
    </w:p>
    <w:p>
      <w:pPr>
        <w:pStyle w:val="BodyText"/>
        <w:spacing w:before="17"/>
      </w:pPr>
    </w:p>
    <w:p>
      <w:pPr>
        <w:pStyle w:val="BodyText"/>
        <w:spacing w:line="496" w:lineRule="auto" w:before="1"/>
        <w:ind w:left="510" w:right="139" w:firstLine="698"/>
      </w:pPr>
      <w:r>
        <w:rPr>
          <w:w w:val="105"/>
        </w:rPr>
        <w:t>A review</w:t>
      </w:r>
      <w:r>
        <w:rPr>
          <w:spacing w:val="-3"/>
          <w:w w:val="105"/>
        </w:rPr>
        <w:t> </w:t>
      </w:r>
      <w:r>
        <w:rPr>
          <w:w w:val="105"/>
        </w:rPr>
        <w:t>of</w:t>
      </w:r>
      <w:r>
        <w:rPr>
          <w:spacing w:val="-10"/>
          <w:w w:val="105"/>
        </w:rPr>
        <w:t> </w:t>
      </w:r>
      <w:r>
        <w:rPr>
          <w:w w:val="105"/>
        </w:rPr>
        <w:t>the</w:t>
      </w:r>
      <w:r>
        <w:rPr>
          <w:spacing w:val="-5"/>
          <w:w w:val="105"/>
        </w:rPr>
        <w:t> </w:t>
      </w:r>
      <w:r>
        <w:rPr>
          <w:w w:val="105"/>
        </w:rPr>
        <w:t>literature</w:t>
      </w:r>
      <w:r>
        <w:rPr>
          <w:spacing w:val="-8"/>
          <w:w w:val="105"/>
        </w:rPr>
        <w:t> </w:t>
      </w:r>
      <w:r>
        <w:rPr>
          <w:w w:val="105"/>
        </w:rPr>
        <w:t>on individuals</w:t>
      </w:r>
      <w:r>
        <w:rPr>
          <w:spacing w:val="-2"/>
          <w:w w:val="105"/>
        </w:rPr>
        <w:t> </w:t>
      </w:r>
      <w:r>
        <w:rPr>
          <w:w w:val="105"/>
        </w:rPr>
        <w:t>diagnosed</w:t>
      </w:r>
      <w:r>
        <w:rPr>
          <w:w w:val="105"/>
        </w:rPr>
        <w:t> with</w:t>
      </w:r>
      <w:r>
        <w:rPr>
          <w:w w:val="105"/>
        </w:rPr>
        <w:t> FM,</w:t>
      </w:r>
      <w:r>
        <w:rPr>
          <w:spacing w:val="-7"/>
          <w:w w:val="105"/>
        </w:rPr>
        <w:t> </w:t>
      </w:r>
      <w:r>
        <w:rPr>
          <w:w w:val="105"/>
        </w:rPr>
        <w:t>their participation</w:t>
      </w:r>
      <w:r>
        <w:rPr>
          <w:spacing w:val="21"/>
          <w:w w:val="105"/>
        </w:rPr>
        <w:t> </w:t>
      </w:r>
      <w:r>
        <w:rPr>
          <w:w w:val="105"/>
        </w:rPr>
        <w:t>in leisure activities, and comorbidity</w:t>
      </w:r>
      <w:r>
        <w:rPr>
          <w:w w:val="105"/>
        </w:rPr>
        <w:t> with depressive symptoms has revealed how unclear the relationship between these factors is</w:t>
      </w:r>
      <w:r>
        <w:rPr>
          <w:spacing w:val="-3"/>
          <w:w w:val="105"/>
        </w:rPr>
        <w:t> </w:t>
      </w:r>
      <w:r>
        <w:rPr>
          <w:w w:val="105"/>
        </w:rPr>
        <w:t>and the need for more comprehensive</w:t>
      </w:r>
      <w:r>
        <w:rPr>
          <w:spacing w:val="40"/>
          <w:w w:val="105"/>
        </w:rPr>
        <w:t> </w:t>
      </w:r>
      <w:r>
        <w:rPr>
          <w:w w:val="105"/>
        </w:rPr>
        <w:t>research on direction of the association</w:t>
      </w:r>
      <w:r>
        <w:rPr>
          <w:spacing w:val="35"/>
          <w:w w:val="105"/>
        </w:rPr>
        <w:t> </w:t>
      </w:r>
      <w:r>
        <w:rPr>
          <w:w w:val="105"/>
        </w:rPr>
        <w:t>between them.</w:t>
      </w:r>
      <w:r>
        <w:rPr>
          <w:spacing w:val="-3"/>
          <w:w w:val="105"/>
        </w:rPr>
        <w:t> </w:t>
      </w:r>
      <w:r>
        <w:rPr>
          <w:w w:val="105"/>
        </w:rPr>
        <w:t>The objective of the present study was to analyze the</w:t>
      </w:r>
      <w:r>
        <w:rPr>
          <w:spacing w:val="-4"/>
          <w:w w:val="105"/>
        </w:rPr>
        <w:t> </w:t>
      </w:r>
      <w:r>
        <w:rPr>
          <w:w w:val="105"/>
        </w:rPr>
        <w:t>association</w:t>
      </w:r>
      <w:r>
        <w:rPr>
          <w:spacing w:val="31"/>
          <w:w w:val="105"/>
        </w:rPr>
        <w:t> </w:t>
      </w:r>
      <w:r>
        <w:rPr>
          <w:w w:val="105"/>
        </w:rPr>
        <w:t>between chronic pain (as measured</w:t>
      </w:r>
      <w:r>
        <w:rPr>
          <w:spacing w:val="38"/>
          <w:w w:val="105"/>
        </w:rPr>
        <w:t> </w:t>
      </w:r>
      <w:r>
        <w:rPr>
          <w:w w:val="105"/>
        </w:rPr>
        <w:t>by an FM status), leisure activities (as measured</w:t>
      </w:r>
      <w:r>
        <w:rPr>
          <w:spacing w:val="40"/>
          <w:w w:val="105"/>
        </w:rPr>
        <w:t> </w:t>
      </w:r>
      <w:r>
        <w:rPr>
          <w:w w:val="105"/>
        </w:rPr>
        <w:t>by a Social/Leisure Activity questionnaire), and depressive</w:t>
      </w:r>
    </w:p>
    <w:p>
      <w:pPr>
        <w:spacing w:after="0" w:line="496" w:lineRule="auto"/>
        <w:sectPr>
          <w:headerReference w:type="default" r:id="rId23"/>
          <w:pgSz w:w="12490" w:h="15800"/>
          <w:pgMar w:header="0" w:footer="0" w:top="1620" w:bottom="280" w:left="1760" w:right="1760"/>
        </w:sectPr>
      </w:pPr>
    </w:p>
    <w:p>
      <w:pPr>
        <w:pStyle w:val="BodyText"/>
        <w:spacing w:line="494" w:lineRule="auto" w:before="81"/>
        <w:ind w:left="444" w:right="155" w:firstLine="1"/>
      </w:pPr>
      <w:r>
        <w:rPr>
          <w:w w:val="105"/>
        </w:rPr>
        <w:t>symptoms (as measured</w:t>
      </w:r>
      <w:r>
        <w:rPr>
          <w:spacing w:val="31"/>
          <w:w w:val="105"/>
        </w:rPr>
        <w:t> </w:t>
      </w:r>
      <w:r>
        <w:rPr>
          <w:w w:val="105"/>
        </w:rPr>
        <w:t>by the Beck Depression</w:t>
      </w:r>
      <w:r>
        <w:rPr>
          <w:spacing w:val="30"/>
          <w:w w:val="105"/>
        </w:rPr>
        <w:t> </w:t>
      </w:r>
      <w:r>
        <w:rPr>
          <w:w w:val="105"/>
        </w:rPr>
        <w:t>Inventory</w:t>
      </w:r>
      <w:r>
        <w:rPr>
          <w:spacing w:val="26"/>
          <w:w w:val="105"/>
        </w:rPr>
        <w:t> </w:t>
      </w:r>
      <w:r>
        <w:rPr>
          <w:w w:val="105"/>
        </w:rPr>
        <w:t>II). Using existing data from the</w:t>
      </w:r>
      <w:r>
        <w:rPr>
          <w:spacing w:val="-3"/>
          <w:w w:val="105"/>
        </w:rPr>
        <w:t> </w:t>
      </w:r>
      <w:r>
        <w:rPr>
          <w:w w:val="105"/>
        </w:rPr>
        <w:t>first two waves of</w:t>
      </w:r>
      <w:r>
        <w:rPr>
          <w:spacing w:val="-7"/>
          <w:w w:val="105"/>
        </w:rPr>
        <w:t> </w:t>
      </w:r>
      <w:r>
        <w:rPr>
          <w:w w:val="105"/>
        </w:rPr>
        <w:t>a study with adults over age 50</w:t>
      </w:r>
      <w:r>
        <w:rPr>
          <w:spacing w:val="-2"/>
          <w:w w:val="105"/>
        </w:rPr>
        <w:t> </w:t>
      </w:r>
      <w:r>
        <w:rPr>
          <w:w w:val="105"/>
        </w:rPr>
        <w:t>(with and without</w:t>
      </w:r>
      <w:r>
        <w:rPr>
          <w:spacing w:val="25"/>
          <w:w w:val="105"/>
        </w:rPr>
        <w:t> </w:t>
      </w:r>
      <w:r>
        <w:rPr>
          <w:w w:val="105"/>
        </w:rPr>
        <w:t>FM), the</w:t>
      </w:r>
      <w:r>
        <w:rPr>
          <w:spacing w:val="-7"/>
          <w:w w:val="105"/>
        </w:rPr>
        <w:t> </w:t>
      </w:r>
      <w:r>
        <w:rPr>
          <w:w w:val="105"/>
        </w:rPr>
        <w:t>current study first investigates correlations among the three variables of interest</w:t>
      </w:r>
      <w:r>
        <w:rPr>
          <w:spacing w:val="39"/>
          <w:w w:val="105"/>
        </w:rPr>
        <w:t> </w:t>
      </w:r>
      <w:r>
        <w:rPr>
          <w:w w:val="105"/>
        </w:rPr>
        <w:t>using the first wave of</w:t>
      </w:r>
      <w:r>
        <w:rPr>
          <w:spacing w:val="-4"/>
          <w:w w:val="105"/>
        </w:rPr>
        <w:t> </w:t>
      </w:r>
      <w:r>
        <w:rPr>
          <w:w w:val="105"/>
        </w:rPr>
        <w:t>data </w:t>
      </w:r>
      <w:r>
        <w:rPr>
          <w:rFonts w:ascii="Arial"/>
          <w:i/>
          <w:w w:val="105"/>
          <w:sz w:val="21"/>
        </w:rPr>
        <w:t>(N </w:t>
      </w:r>
      <w:r>
        <w:rPr>
          <w:w w:val="105"/>
        </w:rPr>
        <w:t>= 146).</w:t>
      </w:r>
      <w:r>
        <w:rPr>
          <w:spacing w:val="-2"/>
          <w:w w:val="105"/>
        </w:rPr>
        <w:t> </w:t>
      </w:r>
      <w:r>
        <w:rPr>
          <w:w w:val="105"/>
        </w:rPr>
        <w:t>The first</w:t>
      </w:r>
      <w:r>
        <w:rPr>
          <w:spacing w:val="22"/>
          <w:w w:val="105"/>
        </w:rPr>
        <w:t> </w:t>
      </w:r>
      <w:r>
        <w:rPr>
          <w:w w:val="105"/>
        </w:rPr>
        <w:t>hypothesis of the current</w:t>
      </w:r>
      <w:r>
        <w:rPr>
          <w:spacing w:val="22"/>
          <w:w w:val="105"/>
        </w:rPr>
        <w:t> </w:t>
      </w:r>
      <w:r>
        <w:rPr>
          <w:w w:val="105"/>
        </w:rPr>
        <w:t>study</w:t>
      </w:r>
      <w:r>
        <w:rPr>
          <w:spacing w:val="24"/>
          <w:w w:val="105"/>
        </w:rPr>
        <w:t> </w:t>
      </w:r>
      <w:r>
        <w:rPr>
          <w:w w:val="105"/>
        </w:rPr>
        <w:t>was that</w:t>
      </w:r>
      <w:r>
        <w:rPr>
          <w:spacing w:val="29"/>
          <w:w w:val="105"/>
        </w:rPr>
        <w:t> </w:t>
      </w:r>
      <w:r>
        <w:rPr>
          <w:w w:val="105"/>
        </w:rPr>
        <w:t>being diagnosed with FM (i.e., having</w:t>
      </w:r>
      <w:r>
        <w:rPr>
          <w:spacing w:val="-2"/>
          <w:w w:val="105"/>
        </w:rPr>
        <w:t> </w:t>
      </w:r>
      <w:r>
        <w:rPr>
          <w:w w:val="105"/>
        </w:rPr>
        <w:t>chronic pain)</w:t>
      </w:r>
      <w:r>
        <w:rPr>
          <w:spacing w:val="-1"/>
          <w:w w:val="105"/>
        </w:rPr>
        <w:t> </w:t>
      </w:r>
      <w:r>
        <w:rPr>
          <w:w w:val="105"/>
        </w:rPr>
        <w:t>would</w:t>
      </w:r>
      <w:r>
        <w:rPr>
          <w:w w:val="105"/>
        </w:rPr>
        <w:t> be</w:t>
      </w:r>
      <w:r>
        <w:rPr>
          <w:spacing w:val="-4"/>
          <w:w w:val="105"/>
        </w:rPr>
        <w:t> </w:t>
      </w:r>
      <w:r>
        <w:rPr>
          <w:w w:val="105"/>
        </w:rPr>
        <w:t>associated</w:t>
      </w:r>
      <w:r>
        <w:rPr>
          <w:spacing w:val="20"/>
          <w:w w:val="105"/>
        </w:rPr>
        <w:t> </w:t>
      </w:r>
      <w:r>
        <w:rPr>
          <w:w w:val="105"/>
        </w:rPr>
        <w:t>with more</w:t>
      </w:r>
      <w:r>
        <w:rPr>
          <w:spacing w:val="-2"/>
          <w:w w:val="105"/>
        </w:rPr>
        <w:t> </w:t>
      </w:r>
      <w:r>
        <w:rPr>
          <w:w w:val="105"/>
        </w:rPr>
        <w:t>depression and less</w:t>
      </w:r>
      <w:r>
        <w:rPr>
          <w:spacing w:val="-3"/>
          <w:w w:val="105"/>
        </w:rPr>
        <w:t> </w:t>
      </w:r>
      <w:r>
        <w:rPr>
          <w:w w:val="105"/>
        </w:rPr>
        <w:t>engagement</w:t>
      </w:r>
      <w:r>
        <w:rPr>
          <w:w w:val="105"/>
        </w:rPr>
        <w:t> in leisure activities than in individuals without FM. The</w:t>
      </w:r>
      <w:r>
        <w:rPr>
          <w:spacing w:val="-6"/>
          <w:w w:val="105"/>
        </w:rPr>
        <w:t> </w:t>
      </w:r>
      <w:r>
        <w:rPr>
          <w:w w:val="105"/>
        </w:rPr>
        <w:t>second hypothesis was</w:t>
      </w:r>
      <w:r>
        <w:rPr>
          <w:spacing w:val="-6"/>
          <w:w w:val="105"/>
        </w:rPr>
        <w:t> </w:t>
      </w:r>
      <w:r>
        <w:rPr>
          <w:w w:val="105"/>
        </w:rPr>
        <w:t>that less</w:t>
      </w:r>
      <w:r>
        <w:rPr>
          <w:spacing w:val="-6"/>
          <w:w w:val="105"/>
        </w:rPr>
        <w:t> </w:t>
      </w:r>
      <w:r>
        <w:rPr>
          <w:w w:val="105"/>
        </w:rPr>
        <w:t>engagement</w:t>
      </w:r>
      <w:r>
        <w:rPr>
          <w:w w:val="105"/>
        </w:rPr>
        <w:t> in leisure activities would</w:t>
      </w:r>
      <w:r>
        <w:rPr>
          <w:w w:val="105"/>
        </w:rPr>
        <w:t> be</w:t>
      </w:r>
      <w:r>
        <w:rPr>
          <w:spacing w:val="-2"/>
          <w:w w:val="105"/>
        </w:rPr>
        <w:t> </w:t>
      </w:r>
      <w:r>
        <w:rPr>
          <w:w w:val="105"/>
        </w:rPr>
        <w:t>correlated</w:t>
      </w:r>
      <w:r>
        <w:rPr>
          <w:spacing w:val="31"/>
          <w:w w:val="105"/>
        </w:rPr>
        <w:t> </w:t>
      </w:r>
      <w:r>
        <w:rPr>
          <w:w w:val="105"/>
        </w:rPr>
        <w:t>with more depressive symptoms</w:t>
      </w:r>
      <w:r>
        <w:rPr>
          <w:spacing w:val="27"/>
          <w:w w:val="105"/>
        </w:rPr>
        <w:t> </w:t>
      </w:r>
      <w:r>
        <w:rPr>
          <w:w w:val="105"/>
        </w:rPr>
        <w:t>regardless of FM status. Then, using data from</w:t>
      </w:r>
      <w:r>
        <w:rPr>
          <w:spacing w:val="28"/>
          <w:w w:val="105"/>
        </w:rPr>
        <w:t> </w:t>
      </w:r>
      <w:r>
        <w:rPr>
          <w:w w:val="105"/>
        </w:rPr>
        <w:t>participants with FM who participated</w:t>
      </w:r>
      <w:r>
        <w:rPr>
          <w:spacing w:val="40"/>
          <w:w w:val="105"/>
        </w:rPr>
        <w:t> </w:t>
      </w:r>
      <w:r>
        <w:rPr>
          <w:w w:val="105"/>
        </w:rPr>
        <w:t>in both the first and second waves of</w:t>
      </w:r>
      <w:r>
        <w:rPr>
          <w:spacing w:val="-3"/>
          <w:w w:val="105"/>
        </w:rPr>
        <w:t> </w:t>
      </w:r>
      <w:r>
        <w:rPr>
          <w:w w:val="105"/>
        </w:rPr>
        <w:t>data collection (N = 78),</w:t>
      </w:r>
      <w:r>
        <w:rPr>
          <w:spacing w:val="-2"/>
          <w:w w:val="105"/>
        </w:rPr>
        <w:t> </w:t>
      </w:r>
      <w:r>
        <w:rPr>
          <w:w w:val="105"/>
        </w:rPr>
        <w:t>the third and final hypothesis</w:t>
      </w:r>
      <w:r>
        <w:rPr>
          <w:spacing w:val="-2"/>
          <w:w w:val="105"/>
        </w:rPr>
        <w:t> </w:t>
      </w:r>
      <w:r>
        <w:rPr>
          <w:w w:val="105"/>
        </w:rPr>
        <w:t>was</w:t>
      </w:r>
      <w:r>
        <w:rPr>
          <w:spacing w:val="-6"/>
          <w:w w:val="105"/>
        </w:rPr>
        <w:t> </w:t>
      </w:r>
      <w:r>
        <w:rPr>
          <w:w w:val="105"/>
        </w:rPr>
        <w:t>that</w:t>
      </w:r>
      <w:r>
        <w:rPr>
          <w:spacing w:val="-3"/>
          <w:w w:val="105"/>
        </w:rPr>
        <w:t> </w:t>
      </w:r>
      <w:r>
        <w:rPr>
          <w:w w:val="105"/>
        </w:rPr>
        <w:t>the inability to participate</w:t>
      </w:r>
      <w:r>
        <w:rPr>
          <w:spacing w:val="21"/>
          <w:w w:val="105"/>
        </w:rPr>
        <w:t> </w:t>
      </w:r>
      <w:r>
        <w:rPr>
          <w:w w:val="105"/>
        </w:rPr>
        <w:t>in leisure</w:t>
      </w:r>
      <w:r>
        <w:rPr>
          <w:spacing w:val="-3"/>
          <w:w w:val="105"/>
        </w:rPr>
        <w:t> </w:t>
      </w:r>
      <w:r>
        <w:rPr>
          <w:w w:val="105"/>
        </w:rPr>
        <w:t>activities</w:t>
      </w:r>
      <w:r>
        <w:rPr>
          <w:spacing w:val="-4"/>
          <w:w w:val="105"/>
        </w:rPr>
        <w:t> </w:t>
      </w:r>
      <w:r>
        <w:rPr>
          <w:w w:val="105"/>
        </w:rPr>
        <w:t>at Wave 1 would</w:t>
      </w:r>
      <w:r>
        <w:rPr>
          <w:w w:val="105"/>
        </w:rPr>
        <w:t> predict higher depressive symptoms at Wave 2</w:t>
      </w:r>
      <w:r>
        <w:rPr>
          <w:spacing w:val="-1"/>
          <w:w w:val="105"/>
        </w:rPr>
        <w:t> </w:t>
      </w:r>
      <w:r>
        <w:rPr>
          <w:w w:val="105"/>
        </w:rPr>
        <w:t>(2 years later).</w:t>
      </w:r>
    </w:p>
    <w:p>
      <w:pPr>
        <w:spacing w:after="0" w:line="494" w:lineRule="auto"/>
        <w:sectPr>
          <w:headerReference w:type="default" r:id="rId24"/>
          <w:pgSz w:w="12450" w:h="15750"/>
          <w:pgMar w:header="1015" w:footer="0" w:top="1600" w:bottom="280" w:left="1760" w:right="1760"/>
        </w:sectPr>
      </w:pPr>
    </w:p>
    <w:p>
      <w:pPr>
        <w:pStyle w:val="BodyText"/>
      </w:pPr>
    </w:p>
    <w:p>
      <w:pPr>
        <w:pStyle w:val="BodyText"/>
      </w:pPr>
    </w:p>
    <w:p>
      <w:pPr>
        <w:pStyle w:val="BodyText"/>
      </w:pPr>
    </w:p>
    <w:p>
      <w:pPr>
        <w:pStyle w:val="BodyText"/>
        <w:spacing w:before="129"/>
      </w:pPr>
    </w:p>
    <w:p>
      <w:pPr>
        <w:pStyle w:val="BodyText"/>
        <w:spacing w:line="496" w:lineRule="auto" w:before="1"/>
        <w:ind w:left="3584" w:right="3257"/>
        <w:jc w:val="center"/>
      </w:pPr>
      <w:r>
        <w:rPr>
          <w:spacing w:val="-2"/>
          <w:w w:val="105"/>
        </w:rPr>
        <w:t>CHAPTER2 METHOD</w:t>
      </w:r>
    </w:p>
    <w:p>
      <w:pPr>
        <w:pStyle w:val="BodyText"/>
        <w:spacing w:before="1"/>
      </w:pPr>
    </w:p>
    <w:p>
      <w:pPr>
        <w:pStyle w:val="BodyText"/>
        <w:spacing w:line="494" w:lineRule="auto" w:before="1"/>
        <w:ind w:left="448" w:right="127" w:firstLine="693"/>
      </w:pPr>
      <w:r>
        <w:rPr>
          <w:w w:val="105"/>
        </w:rPr>
        <w:t>The</w:t>
      </w:r>
      <w:r>
        <w:rPr>
          <w:spacing w:val="-9"/>
          <w:w w:val="105"/>
        </w:rPr>
        <w:t> </w:t>
      </w:r>
      <w:r>
        <w:rPr>
          <w:w w:val="105"/>
        </w:rPr>
        <w:t>current study used both cross-sectional</w:t>
      </w:r>
      <w:r>
        <w:rPr>
          <w:spacing w:val="-3"/>
          <w:w w:val="105"/>
        </w:rPr>
        <w:t> </w:t>
      </w:r>
      <w:r>
        <w:rPr>
          <w:w w:val="105"/>
        </w:rPr>
        <w:t>and longitudinal data from two</w:t>
      </w:r>
      <w:r>
        <w:rPr>
          <w:spacing w:val="-1"/>
          <w:w w:val="105"/>
        </w:rPr>
        <w:t> </w:t>
      </w:r>
      <w:r>
        <w:rPr>
          <w:w w:val="105"/>
        </w:rPr>
        <w:t>waves of</w:t>
      </w:r>
      <w:r>
        <w:rPr>
          <w:spacing w:val="-2"/>
          <w:w w:val="105"/>
        </w:rPr>
        <w:t> </w:t>
      </w:r>
      <w:r>
        <w:rPr>
          <w:w w:val="105"/>
        </w:rPr>
        <w:t>a parent study (Jones et al., 2010; Rutledge, Cherry,</w:t>
      </w:r>
      <w:r>
        <w:rPr>
          <w:spacing w:val="34"/>
          <w:w w:val="105"/>
        </w:rPr>
        <w:t> </w:t>
      </w:r>
      <w:r>
        <w:rPr>
          <w:w w:val="105"/>
        </w:rPr>
        <w:t>Rose, Rakovski, &amp; Jones, 2010). The</w:t>
      </w:r>
      <w:r>
        <w:rPr>
          <w:spacing w:val="-4"/>
          <w:w w:val="105"/>
        </w:rPr>
        <w:t> </w:t>
      </w:r>
      <w:r>
        <w:rPr>
          <w:w w:val="105"/>
        </w:rPr>
        <w:t>association</w:t>
      </w:r>
      <w:r>
        <w:rPr>
          <w:spacing w:val="33"/>
          <w:w w:val="105"/>
        </w:rPr>
        <w:t> </w:t>
      </w:r>
      <w:r>
        <w:rPr>
          <w:w w:val="105"/>
        </w:rPr>
        <w:t>between the</w:t>
      </w:r>
      <w:r>
        <w:rPr>
          <w:spacing w:val="-1"/>
          <w:w w:val="105"/>
        </w:rPr>
        <w:t> </w:t>
      </w:r>
      <w:r>
        <w:rPr>
          <w:w w:val="105"/>
        </w:rPr>
        <w:t>three variables stated above (chronic pain, leisure activities, and depression)</w:t>
      </w:r>
      <w:r>
        <w:rPr>
          <w:w w:val="105"/>
        </w:rPr>
        <w:t> is investigated</w:t>
      </w:r>
      <w:r>
        <w:rPr>
          <w:spacing w:val="27"/>
          <w:w w:val="105"/>
        </w:rPr>
        <w:t> </w:t>
      </w:r>
      <w:r>
        <w:rPr>
          <w:w w:val="105"/>
        </w:rPr>
        <w:t>in participants diagnosed with FM.</w:t>
      </w:r>
      <w:r>
        <w:rPr>
          <w:spacing w:val="-8"/>
          <w:w w:val="105"/>
        </w:rPr>
        <w:t> </w:t>
      </w:r>
      <w:r>
        <w:rPr>
          <w:w w:val="105"/>
        </w:rPr>
        <w:t>The impact of having FM on severity of chronic</w:t>
      </w:r>
      <w:r>
        <w:rPr>
          <w:spacing w:val="31"/>
          <w:w w:val="105"/>
        </w:rPr>
        <w:t> </w:t>
      </w:r>
      <w:r>
        <w:rPr>
          <w:w w:val="105"/>
        </w:rPr>
        <w:t>pain symptom</w:t>
      </w:r>
      <w:r>
        <w:rPr>
          <w:spacing w:val="25"/>
          <w:w w:val="105"/>
        </w:rPr>
        <w:t> </w:t>
      </w:r>
      <w:r>
        <w:rPr>
          <w:w w:val="105"/>
        </w:rPr>
        <w:t>and</w:t>
      </w:r>
      <w:r>
        <w:rPr>
          <w:spacing w:val="19"/>
          <w:w w:val="105"/>
        </w:rPr>
        <w:t> </w:t>
      </w:r>
      <w:r>
        <w:rPr>
          <w:w w:val="105"/>
        </w:rPr>
        <w:t>depression, as well</w:t>
      </w:r>
      <w:r>
        <w:rPr>
          <w:spacing w:val="18"/>
          <w:w w:val="105"/>
        </w:rPr>
        <w:t> </w:t>
      </w:r>
      <w:r>
        <w:rPr>
          <w:w w:val="105"/>
        </w:rPr>
        <w:t>as</w:t>
      </w:r>
      <w:r>
        <w:rPr>
          <w:spacing w:val="-12"/>
          <w:w w:val="105"/>
        </w:rPr>
        <w:t> </w:t>
      </w:r>
      <w:r>
        <w:rPr>
          <w:w w:val="105"/>
        </w:rPr>
        <w:t>engagement</w:t>
      </w:r>
      <w:r>
        <w:rPr>
          <w:spacing w:val="36"/>
          <w:w w:val="105"/>
        </w:rPr>
        <w:t> </w:t>
      </w:r>
      <w:r>
        <w:rPr>
          <w:w w:val="105"/>
        </w:rPr>
        <w:t>in</w:t>
      </w:r>
      <w:r>
        <w:rPr>
          <w:w w:val="105"/>
        </w:rPr>
        <w:t> leisure activities, is</w:t>
      </w:r>
      <w:r>
        <w:rPr>
          <w:spacing w:val="-7"/>
          <w:w w:val="105"/>
        </w:rPr>
        <w:t> </w:t>
      </w:r>
      <w:r>
        <w:rPr>
          <w:w w:val="105"/>
        </w:rPr>
        <w:t>examined. In addition, both Wave 1 (2008) and Wave 2 (2010) data are</w:t>
      </w:r>
      <w:r>
        <w:rPr>
          <w:spacing w:val="-5"/>
          <w:w w:val="105"/>
        </w:rPr>
        <w:t> </w:t>
      </w:r>
      <w:r>
        <w:rPr>
          <w:w w:val="105"/>
        </w:rPr>
        <w:t>analyzed from a longitudinal</w:t>
      </w:r>
      <w:r>
        <w:rPr>
          <w:spacing w:val="33"/>
          <w:w w:val="105"/>
        </w:rPr>
        <w:t> </w:t>
      </w:r>
      <w:r>
        <w:rPr>
          <w:w w:val="105"/>
        </w:rPr>
        <w:t>perspective. The</w:t>
      </w:r>
      <w:r>
        <w:rPr>
          <w:spacing w:val="-3"/>
          <w:w w:val="105"/>
        </w:rPr>
        <w:t> </w:t>
      </w:r>
      <w:r>
        <w:rPr>
          <w:w w:val="105"/>
        </w:rPr>
        <w:t>original study investigated</w:t>
      </w:r>
      <w:r>
        <w:rPr>
          <w:w w:val="105"/>
        </w:rPr>
        <w:t> differences in cognitive performance,</w:t>
      </w:r>
      <w:r>
        <w:rPr>
          <w:spacing w:val="29"/>
          <w:w w:val="105"/>
        </w:rPr>
        <w:t> </w:t>
      </w:r>
      <w:r>
        <w:rPr>
          <w:w w:val="105"/>
        </w:rPr>
        <w:t>physical</w:t>
      </w:r>
      <w:r>
        <w:rPr>
          <w:spacing w:val="26"/>
          <w:w w:val="105"/>
        </w:rPr>
        <w:t> </w:t>
      </w:r>
      <w:r>
        <w:rPr>
          <w:w w:val="105"/>
        </w:rPr>
        <w:t>performance, and functional abilities in people aged 50 years old or over with or without FM (Jones et al., 201O; Rutledge et al., 2010).</w:t>
      </w:r>
    </w:p>
    <w:p>
      <w:pPr>
        <w:pStyle w:val="BodyText"/>
        <w:spacing w:before="5"/>
        <w:ind w:left="3619" w:right="3257"/>
        <w:jc w:val="center"/>
      </w:pPr>
      <w:r>
        <w:rPr>
          <w:spacing w:val="-2"/>
          <w:w w:val="105"/>
          <w:u w:val="thick"/>
        </w:rPr>
        <w:t>Participants</w:t>
      </w:r>
    </w:p>
    <w:p>
      <w:pPr>
        <w:pStyle w:val="BodyText"/>
        <w:spacing w:before="17"/>
      </w:pPr>
    </w:p>
    <w:p>
      <w:pPr>
        <w:pStyle w:val="BodyText"/>
        <w:spacing w:line="494" w:lineRule="auto" w:before="1"/>
        <w:ind w:left="459" w:right="127" w:firstLine="702"/>
      </w:pPr>
      <w:r>
        <w:rPr>
          <w:w w:val="105"/>
        </w:rPr>
        <w:t>In Wave 1 (2008), participants in</w:t>
      </w:r>
      <w:r>
        <w:rPr>
          <w:spacing w:val="-4"/>
          <w:w w:val="105"/>
        </w:rPr>
        <w:t> </w:t>
      </w:r>
      <w:r>
        <w:rPr>
          <w:w w:val="105"/>
        </w:rPr>
        <w:t>the FM group</w:t>
      </w:r>
      <w:r>
        <w:rPr>
          <w:spacing w:val="-5"/>
          <w:w w:val="105"/>
        </w:rPr>
        <w:t> </w:t>
      </w:r>
      <w:r>
        <w:rPr>
          <w:w w:val="105"/>
        </w:rPr>
        <w:t>were recruited through emails</w:t>
      </w:r>
      <w:r>
        <w:rPr>
          <w:spacing w:val="-3"/>
          <w:w w:val="105"/>
        </w:rPr>
        <w:t> </w:t>
      </w:r>
      <w:r>
        <w:rPr>
          <w:w w:val="105"/>
        </w:rPr>
        <w:t>or phone</w:t>
      </w:r>
      <w:r>
        <w:rPr>
          <w:spacing w:val="-8"/>
          <w:w w:val="105"/>
        </w:rPr>
        <w:t> </w:t>
      </w:r>
      <w:r>
        <w:rPr>
          <w:w w:val="105"/>
        </w:rPr>
        <w:t>calls</w:t>
      </w:r>
      <w:r>
        <w:rPr>
          <w:spacing w:val="-4"/>
          <w:w w:val="105"/>
        </w:rPr>
        <w:t> </w:t>
      </w:r>
      <w:r>
        <w:rPr>
          <w:w w:val="105"/>
        </w:rPr>
        <w:t>to</w:t>
      </w:r>
      <w:r>
        <w:rPr>
          <w:spacing w:val="-4"/>
          <w:w w:val="105"/>
        </w:rPr>
        <w:t> </w:t>
      </w:r>
      <w:r>
        <w:rPr>
          <w:w w:val="105"/>
        </w:rPr>
        <w:t>people listed</w:t>
      </w:r>
      <w:r>
        <w:rPr>
          <w:spacing w:val="20"/>
          <w:w w:val="105"/>
        </w:rPr>
        <w:t> </w:t>
      </w:r>
      <w:r>
        <w:rPr>
          <w:w w:val="105"/>
        </w:rPr>
        <w:t>in</w:t>
      </w:r>
      <w:r>
        <w:rPr>
          <w:spacing w:val="-5"/>
          <w:w w:val="105"/>
        </w:rPr>
        <w:t> </w:t>
      </w:r>
      <w:r>
        <w:rPr>
          <w:w w:val="105"/>
        </w:rPr>
        <w:t>databases from</w:t>
      </w:r>
      <w:r>
        <w:rPr>
          <w:w w:val="105"/>
        </w:rPr>
        <w:t> the Fibromyalgia and</w:t>
      </w:r>
      <w:r>
        <w:rPr>
          <w:spacing w:val="-6"/>
          <w:w w:val="105"/>
        </w:rPr>
        <w:t> </w:t>
      </w:r>
      <w:r>
        <w:rPr>
          <w:w w:val="105"/>
        </w:rPr>
        <w:t>Chronic Pain Center (formerly, Fibromyalgia</w:t>
      </w:r>
      <w:r>
        <w:rPr>
          <w:w w:val="105"/>
        </w:rPr>
        <w:t> Research and Education Center), which</w:t>
      </w:r>
      <w:r>
        <w:rPr>
          <w:spacing w:val="40"/>
          <w:w w:val="105"/>
        </w:rPr>
        <w:t> </w:t>
      </w:r>
      <w:r>
        <w:rPr>
          <w:w w:val="105"/>
        </w:rPr>
        <w:t>is a university-based research center, as well as through an advertisement sent to local FM support groups, senior housing facilities, and senior centers. Participants</w:t>
      </w:r>
      <w:r>
        <w:rPr>
          <w:w w:val="105"/>
        </w:rPr>
        <w:t> in the non-FM</w:t>
      </w:r>
      <w:r>
        <w:rPr>
          <w:w w:val="105"/>
        </w:rPr>
        <w:t> group were recruited</w:t>
      </w:r>
      <w:r>
        <w:rPr>
          <w:w w:val="105"/>
        </w:rPr>
        <w:t> through an advertisement</w:t>
      </w:r>
      <w:r>
        <w:rPr>
          <w:w w:val="105"/>
        </w:rPr>
        <w:t> sent to local senior housing facilities and a senior center or through emails</w:t>
      </w:r>
      <w:r>
        <w:rPr>
          <w:spacing w:val="-1"/>
          <w:w w:val="105"/>
        </w:rPr>
        <w:t> </w:t>
      </w:r>
      <w:r>
        <w:rPr>
          <w:w w:val="105"/>
        </w:rPr>
        <w:t>and phone calls</w:t>
      </w:r>
      <w:r>
        <w:rPr>
          <w:spacing w:val="-1"/>
          <w:w w:val="105"/>
        </w:rPr>
        <w:t> </w:t>
      </w:r>
      <w:r>
        <w:rPr>
          <w:w w:val="105"/>
        </w:rPr>
        <w:t>to the university's Center for</w:t>
      </w:r>
      <w:r>
        <w:rPr>
          <w:spacing w:val="-1"/>
          <w:w w:val="105"/>
        </w:rPr>
        <w:t> </w:t>
      </w:r>
      <w:r>
        <w:rPr>
          <w:w w:val="105"/>
        </w:rPr>
        <w:t>Successful</w:t>
      </w:r>
      <w:r>
        <w:rPr>
          <w:spacing w:val="26"/>
          <w:w w:val="105"/>
        </w:rPr>
        <w:t> </w:t>
      </w:r>
      <w:r>
        <w:rPr>
          <w:w w:val="105"/>
        </w:rPr>
        <w:t>Aging members.</w:t>
      </w:r>
      <w:r>
        <w:rPr>
          <w:w w:val="105"/>
        </w:rPr>
        <w:t> In the fall of</w:t>
      </w:r>
      <w:r>
        <w:rPr>
          <w:spacing w:val="-5"/>
          <w:w w:val="105"/>
        </w:rPr>
        <w:t> </w:t>
      </w:r>
      <w:r>
        <w:rPr>
          <w:w w:val="105"/>
        </w:rPr>
        <w:t>2008, 70 participants with FM (93%</w:t>
      </w:r>
      <w:r>
        <w:rPr>
          <w:spacing w:val="-4"/>
          <w:w w:val="105"/>
        </w:rPr>
        <w:t> </w:t>
      </w:r>
      <w:r>
        <w:rPr>
          <w:w w:val="105"/>
        </w:rPr>
        <w:t>female, mean age</w:t>
      </w:r>
      <w:r>
        <w:rPr>
          <w:spacing w:val="-5"/>
          <w:w w:val="105"/>
        </w:rPr>
        <w:t> </w:t>
      </w:r>
      <w:r>
        <w:rPr>
          <w:w w:val="105"/>
        </w:rPr>
        <w:t>60 years)</w:t>
      </w:r>
    </w:p>
    <w:p>
      <w:pPr>
        <w:spacing w:after="0" w:line="494" w:lineRule="auto"/>
        <w:sectPr>
          <w:headerReference w:type="default" r:id="rId25"/>
          <w:pgSz w:w="12450" w:h="15730"/>
          <w:pgMar w:header="1034" w:footer="0" w:top="1860" w:bottom="280" w:left="1760" w:right="1760"/>
          <w:pgNumType w:start="12"/>
        </w:sectPr>
      </w:pPr>
    </w:p>
    <w:p>
      <w:pPr>
        <w:pStyle w:val="BodyText"/>
        <w:spacing w:line="496" w:lineRule="auto" w:before="81"/>
        <w:ind w:left="525" w:right="149" w:hanging="5"/>
      </w:pPr>
      <w:r>
        <w:rPr>
          <w:w w:val="105"/>
        </w:rPr>
        <w:t>and 76 participants without</w:t>
      </w:r>
      <w:r>
        <w:rPr>
          <w:w w:val="105"/>
        </w:rPr>
        <w:t> FM (67% female, mean age 68 years)</w:t>
      </w:r>
      <w:r>
        <w:rPr>
          <w:spacing w:val="-1"/>
          <w:w w:val="105"/>
        </w:rPr>
        <w:t> </w:t>
      </w:r>
      <w:r>
        <w:rPr>
          <w:w w:val="105"/>
        </w:rPr>
        <w:t>completed</w:t>
      </w:r>
      <w:r>
        <w:rPr>
          <w:w w:val="105"/>
        </w:rPr>
        <w:t> the assessment and questionnaires required</w:t>
      </w:r>
      <w:r>
        <w:rPr>
          <w:w w:val="105"/>
        </w:rPr>
        <w:t> for participation</w:t>
      </w:r>
      <w:r>
        <w:rPr>
          <w:w w:val="105"/>
        </w:rPr>
        <w:t> in the</w:t>
      </w:r>
      <w:r>
        <w:rPr>
          <w:spacing w:val="-1"/>
          <w:w w:val="105"/>
        </w:rPr>
        <w:t> </w:t>
      </w:r>
      <w:r>
        <w:rPr>
          <w:w w:val="105"/>
        </w:rPr>
        <w:t>study. Table 1 presents demographic</w:t>
      </w:r>
      <w:r>
        <w:rPr>
          <w:w w:val="105"/>
        </w:rPr>
        <w:t> information</w:t>
      </w:r>
      <w:r>
        <w:rPr>
          <w:w w:val="105"/>
        </w:rPr>
        <w:t> for</w:t>
      </w:r>
      <w:r>
        <w:rPr>
          <w:spacing w:val="-7"/>
          <w:w w:val="105"/>
        </w:rPr>
        <w:t> </w:t>
      </w:r>
      <w:r>
        <w:rPr>
          <w:w w:val="105"/>
        </w:rPr>
        <w:t>the participants in the</w:t>
      </w:r>
      <w:r>
        <w:rPr>
          <w:spacing w:val="-8"/>
          <w:w w:val="105"/>
        </w:rPr>
        <w:t> </w:t>
      </w:r>
      <w:r>
        <w:rPr>
          <w:w w:val="105"/>
        </w:rPr>
        <w:t>sample. The inclusion criteria for</w:t>
      </w:r>
      <w:r>
        <w:rPr>
          <w:spacing w:val="-2"/>
          <w:w w:val="105"/>
        </w:rPr>
        <w:t> </w:t>
      </w:r>
      <w:r>
        <w:rPr>
          <w:w w:val="105"/>
        </w:rPr>
        <w:t>the original study required that participants were a minimum</w:t>
      </w:r>
      <w:r>
        <w:rPr>
          <w:spacing w:val="35"/>
          <w:w w:val="105"/>
        </w:rPr>
        <w:t> </w:t>
      </w:r>
      <w:r>
        <w:rPr>
          <w:w w:val="105"/>
        </w:rPr>
        <w:t>age of 50 years</w:t>
      </w:r>
      <w:r>
        <w:rPr>
          <w:spacing w:val="-2"/>
          <w:w w:val="105"/>
        </w:rPr>
        <w:t> </w:t>
      </w:r>
      <w:r>
        <w:rPr>
          <w:w w:val="105"/>
        </w:rPr>
        <w:t>old, independently</w:t>
      </w:r>
      <w:r>
        <w:rPr>
          <w:w w:val="105"/>
        </w:rPr>
        <w:t> functioning, and community residing. Participants in the FM group were required to present documentation</w:t>
      </w:r>
      <w:r>
        <w:rPr>
          <w:spacing w:val="33"/>
          <w:w w:val="105"/>
        </w:rPr>
        <w:t> </w:t>
      </w:r>
      <w:r>
        <w:rPr>
          <w:w w:val="105"/>
        </w:rPr>
        <w:t>signed</w:t>
      </w:r>
      <w:r>
        <w:rPr>
          <w:w w:val="105"/>
        </w:rPr>
        <w:t> by a licensed</w:t>
      </w:r>
      <w:r>
        <w:rPr>
          <w:w w:val="105"/>
        </w:rPr>
        <w:t> physician</w:t>
      </w:r>
      <w:r>
        <w:rPr>
          <w:w w:val="105"/>
        </w:rPr>
        <w:t> indicating that they have met the criteria for classification of FM from the American College of Rheumatology (Wolfe et al., 1990; Wolfe et al., 2010). In the original study, people in both the FM and non-FM groups were excluded</w:t>
      </w:r>
      <w:r>
        <w:rPr>
          <w:spacing w:val="31"/>
          <w:w w:val="105"/>
        </w:rPr>
        <w:t> </w:t>
      </w:r>
      <w:r>
        <w:rPr>
          <w:w w:val="105"/>
        </w:rPr>
        <w:t>if they failed to meet the minimum requirements</w:t>
      </w:r>
      <w:r>
        <w:rPr>
          <w:w w:val="105"/>
        </w:rPr>
        <w:t> for</w:t>
      </w:r>
      <w:r>
        <w:rPr>
          <w:spacing w:val="-6"/>
          <w:w w:val="105"/>
        </w:rPr>
        <w:t> </w:t>
      </w:r>
      <w:r>
        <w:rPr>
          <w:w w:val="105"/>
        </w:rPr>
        <w:t>testing. Requirements</w:t>
      </w:r>
      <w:r>
        <w:rPr>
          <w:w w:val="105"/>
        </w:rPr>
        <w:t> included scoring 25</w:t>
      </w:r>
      <w:r>
        <w:rPr>
          <w:spacing w:val="-5"/>
          <w:w w:val="105"/>
        </w:rPr>
        <w:t> </w:t>
      </w:r>
      <w:r>
        <w:rPr>
          <w:w w:val="105"/>
        </w:rPr>
        <w:t>or</w:t>
      </w:r>
      <w:r>
        <w:rPr>
          <w:spacing w:val="-4"/>
          <w:w w:val="105"/>
        </w:rPr>
        <w:t> </w:t>
      </w:r>
      <w:r>
        <w:rPr>
          <w:w w:val="105"/>
        </w:rPr>
        <w:t>higher on the</w:t>
      </w:r>
      <w:r>
        <w:rPr>
          <w:spacing w:val="-1"/>
          <w:w w:val="105"/>
        </w:rPr>
        <w:t> </w:t>
      </w:r>
      <w:r>
        <w:rPr>
          <w:w w:val="105"/>
        </w:rPr>
        <w:t>Mini-Mental Status Examination (Folstein, Folstein, &amp; McHugh, 1975, as</w:t>
      </w:r>
      <w:r>
        <w:rPr>
          <w:spacing w:val="-1"/>
          <w:w w:val="105"/>
        </w:rPr>
        <w:t> </w:t>
      </w:r>
      <w:r>
        <w:rPr>
          <w:w w:val="105"/>
        </w:rPr>
        <w:t>cited</w:t>
      </w:r>
      <w:r>
        <w:rPr>
          <w:w w:val="105"/>
        </w:rPr>
        <w:t> in Rutledge et al., 2010), not having any medical conditions that would contraindicate submaximal</w:t>
      </w:r>
      <w:r>
        <w:rPr>
          <w:w w:val="105"/>
        </w:rPr>
        <w:t> testing based on the guidelines from the American College</w:t>
      </w:r>
      <w:r>
        <w:rPr>
          <w:spacing w:val="-1"/>
          <w:w w:val="105"/>
        </w:rPr>
        <w:t> </w:t>
      </w:r>
      <w:r>
        <w:rPr>
          <w:w w:val="105"/>
        </w:rPr>
        <w:t>of</w:t>
      </w:r>
      <w:r>
        <w:rPr>
          <w:spacing w:val="-7"/>
          <w:w w:val="105"/>
        </w:rPr>
        <w:t> </w:t>
      </w:r>
      <w:r>
        <w:rPr>
          <w:w w:val="105"/>
        </w:rPr>
        <w:t>Sports Medicine (Dwyer &amp; Davis, 2008, as</w:t>
      </w:r>
      <w:r>
        <w:rPr>
          <w:spacing w:val="-7"/>
          <w:w w:val="105"/>
        </w:rPr>
        <w:t> </w:t>
      </w:r>
      <w:r>
        <w:rPr>
          <w:w w:val="105"/>
        </w:rPr>
        <w:t>cited</w:t>
      </w:r>
      <w:r>
        <w:rPr>
          <w:spacing w:val="30"/>
          <w:w w:val="105"/>
        </w:rPr>
        <w:t> </w:t>
      </w:r>
      <w:r>
        <w:rPr>
          <w:w w:val="105"/>
        </w:rPr>
        <w:t>in Rutledge et al., 2010), and an ability to walk for at least 6 minutes without assistance. A participant would</w:t>
      </w:r>
      <w:r>
        <w:rPr>
          <w:w w:val="105"/>
        </w:rPr>
        <w:t> not be allowed to participate in the physical performance testing with blood</w:t>
      </w:r>
      <w:r>
        <w:rPr>
          <w:w w:val="105"/>
        </w:rPr>
        <w:t> pressure higher than 160/100 mm</w:t>
      </w:r>
      <w:r>
        <w:rPr>
          <w:spacing w:val="-39"/>
          <w:w w:val="105"/>
        </w:rPr>
        <w:t> </w:t>
      </w:r>
      <w:r>
        <w:rPr>
          <w:w w:val="105"/>
        </w:rPr>
        <w:t>Hg.</w:t>
      </w:r>
      <w:r>
        <w:rPr>
          <w:spacing w:val="40"/>
          <w:w w:val="105"/>
        </w:rPr>
        <w:t> </w:t>
      </w:r>
      <w:r>
        <w:rPr>
          <w:w w:val="105"/>
        </w:rPr>
        <w:t>Medical authorization to participate in the</w:t>
      </w:r>
      <w:r>
        <w:rPr>
          <w:spacing w:val="-7"/>
          <w:w w:val="105"/>
        </w:rPr>
        <w:t> </w:t>
      </w:r>
      <w:r>
        <w:rPr>
          <w:w w:val="105"/>
        </w:rPr>
        <w:t>study was necessary if</w:t>
      </w:r>
      <w:r>
        <w:rPr>
          <w:spacing w:val="-10"/>
          <w:w w:val="105"/>
        </w:rPr>
        <w:t> </w:t>
      </w:r>
      <w:r>
        <w:rPr>
          <w:w w:val="105"/>
        </w:rPr>
        <w:t>one of</w:t>
      </w:r>
      <w:r>
        <w:rPr>
          <w:spacing w:val="-7"/>
          <w:w w:val="105"/>
        </w:rPr>
        <w:t> </w:t>
      </w:r>
      <w:r>
        <w:rPr>
          <w:w w:val="105"/>
        </w:rPr>
        <w:t>the following applied: (I) participant's</w:t>
      </w:r>
      <w:r>
        <w:rPr>
          <w:w w:val="105"/>
        </w:rPr>
        <w:t> physician</w:t>
      </w:r>
      <w:r>
        <w:rPr>
          <w:spacing w:val="39"/>
          <w:w w:val="105"/>
        </w:rPr>
        <w:t> </w:t>
      </w:r>
      <w:r>
        <w:rPr>
          <w:w w:val="105"/>
        </w:rPr>
        <w:t>has recommended</w:t>
      </w:r>
      <w:r>
        <w:rPr>
          <w:w w:val="105"/>
        </w:rPr>
        <w:t> refraining from exercising due to a medical condition; (2) participant has</w:t>
      </w:r>
      <w:r>
        <w:rPr>
          <w:spacing w:val="-4"/>
          <w:w w:val="105"/>
        </w:rPr>
        <w:t> </w:t>
      </w:r>
      <w:r>
        <w:rPr>
          <w:w w:val="105"/>
        </w:rPr>
        <w:t>had a history of</w:t>
      </w:r>
      <w:r>
        <w:rPr>
          <w:spacing w:val="-8"/>
          <w:w w:val="105"/>
        </w:rPr>
        <w:t> </w:t>
      </w:r>
      <w:r>
        <w:rPr>
          <w:w w:val="105"/>
        </w:rPr>
        <w:t>congestive heart failure;</w:t>
      </w:r>
      <w:r>
        <w:rPr>
          <w:spacing w:val="-5"/>
          <w:w w:val="105"/>
        </w:rPr>
        <w:t> </w:t>
      </w:r>
      <w:r>
        <w:rPr>
          <w:w w:val="105"/>
        </w:rPr>
        <w:t>and (3) participant was currently experiencing chest pain, dizziness, severe joint pain, or had exertional angina. All participants were asked to read and sign an informed</w:t>
      </w:r>
      <w:r>
        <w:rPr>
          <w:w w:val="105"/>
        </w:rPr>
        <w:t> consent form that was approved</w:t>
      </w:r>
      <w:r>
        <w:rPr>
          <w:spacing w:val="40"/>
          <w:w w:val="105"/>
        </w:rPr>
        <w:t> </w:t>
      </w:r>
      <w:r>
        <w:rPr>
          <w:w w:val="105"/>
        </w:rPr>
        <w:t>by the university's Institutional</w:t>
      </w:r>
      <w:r>
        <w:rPr>
          <w:spacing w:val="40"/>
          <w:w w:val="105"/>
        </w:rPr>
        <w:t> </w:t>
      </w:r>
      <w:r>
        <w:rPr>
          <w:w w:val="105"/>
        </w:rPr>
        <w:t>Review Board.</w:t>
      </w:r>
    </w:p>
    <w:p>
      <w:pPr>
        <w:spacing w:after="0" w:line="496" w:lineRule="auto"/>
        <w:sectPr>
          <w:headerReference w:type="default" r:id="rId26"/>
          <w:pgSz w:w="12480" w:h="15750"/>
          <w:pgMar w:header="1020" w:footer="0" w:top="1600" w:bottom="280" w:left="1760" w:right="1760"/>
        </w:sectPr>
      </w:pPr>
    </w:p>
    <w:p>
      <w:pPr>
        <w:pStyle w:val="BodyText"/>
        <w:spacing w:line="496" w:lineRule="auto" w:before="81"/>
        <w:ind w:left="448" w:right="190" w:firstLine="708"/>
      </w:pPr>
      <w:r>
        <w:rPr>
          <w:w w:val="105"/>
        </w:rPr>
        <w:t>In</w:t>
      </w:r>
      <w:r>
        <w:rPr>
          <w:spacing w:val="-4"/>
          <w:w w:val="105"/>
        </w:rPr>
        <w:t> </w:t>
      </w:r>
      <w:r>
        <w:rPr>
          <w:w w:val="105"/>
        </w:rPr>
        <w:t>Wave 2</w:t>
      </w:r>
      <w:r>
        <w:rPr>
          <w:spacing w:val="-8"/>
          <w:w w:val="105"/>
        </w:rPr>
        <w:t> </w:t>
      </w:r>
      <w:r>
        <w:rPr>
          <w:w w:val="105"/>
        </w:rPr>
        <w:t>(20</w:t>
      </w:r>
      <w:r>
        <w:rPr>
          <w:spacing w:val="-35"/>
          <w:w w:val="105"/>
        </w:rPr>
        <w:t> </w:t>
      </w:r>
      <w:r>
        <w:rPr>
          <w:w w:val="105"/>
        </w:rPr>
        <w:t>I</w:t>
      </w:r>
      <w:r>
        <w:rPr>
          <w:spacing w:val="-25"/>
          <w:w w:val="105"/>
        </w:rPr>
        <w:t> </w:t>
      </w:r>
      <w:r>
        <w:rPr>
          <w:w w:val="105"/>
        </w:rPr>
        <w:t>0),</w:t>
      </w:r>
      <w:r>
        <w:rPr>
          <w:spacing w:val="-9"/>
          <w:w w:val="105"/>
        </w:rPr>
        <w:t> </w:t>
      </w:r>
      <w:r>
        <w:rPr>
          <w:w w:val="105"/>
        </w:rPr>
        <w:t>the</w:t>
      </w:r>
      <w:r>
        <w:rPr>
          <w:spacing w:val="-3"/>
          <w:w w:val="105"/>
        </w:rPr>
        <w:t> </w:t>
      </w:r>
      <w:r>
        <w:rPr>
          <w:w w:val="105"/>
        </w:rPr>
        <w:t>participants from</w:t>
      </w:r>
      <w:r>
        <w:rPr>
          <w:spacing w:val="18"/>
          <w:w w:val="105"/>
        </w:rPr>
        <w:t> </w:t>
      </w:r>
      <w:r>
        <w:rPr>
          <w:w w:val="105"/>
        </w:rPr>
        <w:t>Wave</w:t>
      </w:r>
      <w:r>
        <w:rPr>
          <w:spacing w:val="-1"/>
          <w:w w:val="105"/>
        </w:rPr>
        <w:t> </w:t>
      </w:r>
      <w:r>
        <w:rPr>
          <w:w w:val="105"/>
        </w:rPr>
        <w:t>1</w:t>
      </w:r>
      <w:r>
        <w:rPr>
          <w:w w:val="105"/>
        </w:rPr>
        <w:t> were</w:t>
      </w:r>
      <w:r>
        <w:rPr>
          <w:spacing w:val="-6"/>
          <w:w w:val="105"/>
        </w:rPr>
        <w:t> </w:t>
      </w:r>
      <w:r>
        <w:rPr>
          <w:w w:val="105"/>
        </w:rPr>
        <w:t>contacted through</w:t>
      </w:r>
      <w:r>
        <w:rPr>
          <w:spacing w:val="15"/>
          <w:w w:val="105"/>
        </w:rPr>
        <w:t> </w:t>
      </w:r>
      <w:r>
        <w:rPr>
          <w:w w:val="105"/>
        </w:rPr>
        <w:t>phone</w:t>
      </w:r>
      <w:r>
        <w:rPr>
          <w:spacing w:val="-7"/>
          <w:w w:val="105"/>
        </w:rPr>
        <w:t> </w:t>
      </w:r>
      <w:r>
        <w:rPr>
          <w:w w:val="105"/>
        </w:rPr>
        <w:t>or mail to</w:t>
      </w:r>
      <w:r>
        <w:rPr>
          <w:spacing w:val="-6"/>
          <w:w w:val="105"/>
        </w:rPr>
        <w:t> </w:t>
      </w:r>
      <w:r>
        <w:rPr>
          <w:w w:val="105"/>
        </w:rPr>
        <w:t>determine their interest</w:t>
      </w:r>
      <w:r>
        <w:rPr>
          <w:spacing w:val="26"/>
          <w:w w:val="105"/>
        </w:rPr>
        <w:t> </w:t>
      </w:r>
      <w:r>
        <w:rPr>
          <w:w w:val="105"/>
        </w:rPr>
        <w:t>in participating</w:t>
      </w:r>
      <w:r>
        <w:rPr>
          <w:spacing w:val="30"/>
          <w:w w:val="105"/>
        </w:rPr>
        <w:t> </w:t>
      </w:r>
      <w:r>
        <w:rPr>
          <w:w w:val="105"/>
        </w:rPr>
        <w:t>in the second</w:t>
      </w:r>
      <w:r>
        <w:rPr>
          <w:spacing w:val="22"/>
          <w:w w:val="105"/>
        </w:rPr>
        <w:t> </w:t>
      </w:r>
      <w:r>
        <w:rPr>
          <w:w w:val="105"/>
        </w:rPr>
        <w:t>stage of the</w:t>
      </w:r>
      <w:r>
        <w:rPr>
          <w:spacing w:val="-2"/>
          <w:w w:val="105"/>
        </w:rPr>
        <w:t> </w:t>
      </w:r>
      <w:r>
        <w:rPr>
          <w:w w:val="105"/>
        </w:rPr>
        <w:t>original</w:t>
      </w:r>
      <w:r>
        <w:rPr>
          <w:spacing w:val="29"/>
          <w:w w:val="105"/>
        </w:rPr>
        <w:t> </w:t>
      </w:r>
      <w:r>
        <w:rPr>
          <w:w w:val="105"/>
        </w:rPr>
        <w:t>study. A total number of</w:t>
      </w:r>
      <w:r>
        <w:rPr>
          <w:spacing w:val="-5"/>
          <w:w w:val="105"/>
        </w:rPr>
        <w:t> </w:t>
      </w:r>
      <w:r>
        <w:rPr>
          <w:w w:val="105"/>
        </w:rPr>
        <w:t>78</w:t>
      </w:r>
      <w:r>
        <w:rPr>
          <w:spacing w:val="-4"/>
          <w:w w:val="105"/>
        </w:rPr>
        <w:t> </w:t>
      </w:r>
      <w:r>
        <w:rPr>
          <w:w w:val="105"/>
        </w:rPr>
        <w:t>participants returned</w:t>
      </w:r>
      <w:r>
        <w:rPr>
          <w:spacing w:val="19"/>
          <w:w w:val="105"/>
        </w:rPr>
        <w:t> </w:t>
      </w:r>
      <w:r>
        <w:rPr>
          <w:w w:val="105"/>
        </w:rPr>
        <w:t>for Wave</w:t>
      </w:r>
      <w:r>
        <w:rPr>
          <w:spacing w:val="-2"/>
          <w:w w:val="105"/>
        </w:rPr>
        <w:t> </w:t>
      </w:r>
      <w:r>
        <w:rPr>
          <w:w w:val="105"/>
        </w:rPr>
        <w:t>2. In</w:t>
      </w:r>
      <w:r>
        <w:rPr>
          <w:spacing w:val="-6"/>
          <w:w w:val="105"/>
        </w:rPr>
        <w:t> </w:t>
      </w:r>
      <w:r>
        <w:rPr>
          <w:w w:val="105"/>
        </w:rPr>
        <w:t>addition to</w:t>
      </w:r>
      <w:r>
        <w:rPr>
          <w:spacing w:val="-7"/>
          <w:w w:val="105"/>
        </w:rPr>
        <w:t> </w:t>
      </w:r>
      <w:r>
        <w:rPr>
          <w:w w:val="105"/>
        </w:rPr>
        <w:t>the</w:t>
      </w:r>
      <w:r>
        <w:rPr>
          <w:spacing w:val="-4"/>
          <w:w w:val="105"/>
        </w:rPr>
        <w:t> </w:t>
      </w:r>
      <w:r>
        <w:rPr>
          <w:w w:val="105"/>
        </w:rPr>
        <w:t>original sample, a new sample of participants diagnosed</w:t>
      </w:r>
      <w:r>
        <w:rPr>
          <w:w w:val="105"/>
        </w:rPr>
        <w:t> with</w:t>
      </w:r>
      <w:r>
        <w:rPr>
          <w:w w:val="105"/>
        </w:rPr>
        <w:t> FM was accrued. Participants in the new sample</w:t>
      </w:r>
      <w:r>
        <w:rPr>
          <w:spacing w:val="-2"/>
          <w:w w:val="105"/>
        </w:rPr>
        <w:t> </w:t>
      </w:r>
      <w:r>
        <w:rPr>
          <w:w w:val="105"/>
        </w:rPr>
        <w:t>were recruited through an</w:t>
      </w:r>
      <w:r>
        <w:rPr>
          <w:spacing w:val="-5"/>
          <w:w w:val="105"/>
        </w:rPr>
        <w:t> </w:t>
      </w:r>
      <w:r>
        <w:rPr>
          <w:w w:val="105"/>
        </w:rPr>
        <w:t>outreach in</w:t>
      </w:r>
      <w:r>
        <w:rPr>
          <w:spacing w:val="-5"/>
          <w:w w:val="105"/>
        </w:rPr>
        <w:t> </w:t>
      </w:r>
      <w:r>
        <w:rPr>
          <w:w w:val="105"/>
        </w:rPr>
        <w:t>the</w:t>
      </w:r>
      <w:r>
        <w:rPr>
          <w:spacing w:val="-2"/>
          <w:w w:val="105"/>
        </w:rPr>
        <w:t> </w:t>
      </w:r>
      <w:r>
        <w:rPr>
          <w:w w:val="105"/>
        </w:rPr>
        <w:t>FM</w:t>
      </w:r>
      <w:r>
        <w:rPr>
          <w:spacing w:val="-6"/>
          <w:w w:val="105"/>
        </w:rPr>
        <w:t> </w:t>
      </w:r>
      <w:r>
        <w:rPr>
          <w:w w:val="105"/>
        </w:rPr>
        <w:t>community (National</w:t>
      </w:r>
      <w:r>
        <w:rPr>
          <w:spacing w:val="21"/>
          <w:w w:val="105"/>
        </w:rPr>
        <w:t> </w:t>
      </w:r>
      <w:r>
        <w:rPr>
          <w:w w:val="105"/>
        </w:rPr>
        <w:t>Fibromyalgia Association, flyers to FM support groups, and contacts with people associated</w:t>
      </w:r>
      <w:r>
        <w:rPr>
          <w:w w:val="105"/>
        </w:rPr>
        <w:t> with the FM Research and Education Center)</w:t>
      </w:r>
      <w:r>
        <w:rPr>
          <w:spacing w:val="-1"/>
          <w:w w:val="105"/>
        </w:rPr>
        <w:t> </w:t>
      </w:r>
      <w:r>
        <w:rPr>
          <w:w w:val="105"/>
        </w:rPr>
        <w:t>as in 2008. Persons interested</w:t>
      </w:r>
      <w:r>
        <w:rPr>
          <w:w w:val="105"/>
        </w:rPr>
        <w:t> in participating,</w:t>
      </w:r>
      <w:r>
        <w:rPr>
          <w:spacing w:val="-3"/>
          <w:w w:val="105"/>
        </w:rPr>
        <w:t> </w:t>
      </w:r>
      <w:r>
        <w:rPr>
          <w:w w:val="105"/>
        </w:rPr>
        <w:t>were asked to</w:t>
      </w:r>
      <w:r>
        <w:rPr>
          <w:spacing w:val="-3"/>
          <w:w w:val="105"/>
        </w:rPr>
        <w:t> </w:t>
      </w:r>
      <w:r>
        <w:rPr>
          <w:w w:val="105"/>
        </w:rPr>
        <w:t>call or send an email to</w:t>
      </w:r>
      <w:r>
        <w:rPr>
          <w:spacing w:val="-4"/>
          <w:w w:val="105"/>
        </w:rPr>
        <w:t> </w:t>
      </w:r>
      <w:r>
        <w:rPr>
          <w:w w:val="105"/>
        </w:rPr>
        <w:t>assigned study personnel</w:t>
      </w:r>
      <w:r>
        <w:rPr>
          <w:spacing w:val="27"/>
          <w:w w:val="105"/>
        </w:rPr>
        <w:t> </w:t>
      </w:r>
      <w:r>
        <w:rPr>
          <w:w w:val="105"/>
        </w:rPr>
        <w:t>for additional</w:t>
      </w:r>
      <w:r>
        <w:rPr>
          <w:w w:val="105"/>
        </w:rPr>
        <w:t> questions about</w:t>
      </w:r>
    </w:p>
    <w:p>
      <w:pPr>
        <w:pStyle w:val="BodyText"/>
        <w:spacing w:line="494" w:lineRule="auto"/>
        <w:ind w:left="459" w:right="139" w:hanging="6"/>
      </w:pPr>
      <w:r>
        <w:rPr/>
        <w:t>the</w:t>
      </w:r>
      <w:r>
        <w:rPr>
          <w:spacing w:val="17"/>
        </w:rPr>
        <w:t> </w:t>
      </w:r>
      <w:r>
        <w:rPr/>
        <w:t>study</w:t>
      </w:r>
      <w:r>
        <w:rPr>
          <w:spacing w:val="24"/>
        </w:rPr>
        <w:t> </w:t>
      </w:r>
      <w:r>
        <w:rPr/>
        <w:t>and</w:t>
      </w:r>
      <w:r>
        <w:rPr>
          <w:spacing w:val="33"/>
        </w:rPr>
        <w:t> </w:t>
      </w:r>
      <w:r>
        <w:rPr/>
        <w:t>to</w:t>
      </w:r>
      <w:r>
        <w:rPr>
          <w:spacing w:val="29"/>
        </w:rPr>
        <w:t> </w:t>
      </w:r>
      <w:r>
        <w:rPr/>
        <w:t>be</w:t>
      </w:r>
      <w:r>
        <w:rPr>
          <w:spacing w:val="17"/>
        </w:rPr>
        <w:t> </w:t>
      </w:r>
      <w:r>
        <w:rPr/>
        <w:t>screened</w:t>
      </w:r>
      <w:r>
        <w:rPr>
          <w:spacing w:val="40"/>
        </w:rPr>
        <w:t> </w:t>
      </w:r>
      <w:r>
        <w:rPr/>
        <w:t>for</w:t>
      </w:r>
      <w:r>
        <w:rPr>
          <w:spacing w:val="19"/>
        </w:rPr>
        <w:t> </w:t>
      </w:r>
      <w:r>
        <w:rPr/>
        <w:t>exclusion</w:t>
      </w:r>
      <w:r>
        <w:rPr>
          <w:spacing w:val="40"/>
        </w:rPr>
        <w:t> </w:t>
      </w:r>
      <w:r>
        <w:rPr/>
        <w:t>and</w:t>
      </w:r>
      <w:r>
        <w:rPr>
          <w:spacing w:val="40"/>
        </w:rPr>
        <w:t> </w:t>
      </w:r>
      <w:r>
        <w:rPr/>
        <w:t>inclusion</w:t>
      </w:r>
      <w:r>
        <w:rPr>
          <w:spacing w:val="38"/>
        </w:rPr>
        <w:t> </w:t>
      </w:r>
      <w:r>
        <w:rPr/>
        <w:t>criteria.</w:t>
      </w:r>
      <w:r>
        <w:rPr>
          <w:spacing w:val="21"/>
        </w:rPr>
        <w:t> </w:t>
      </w:r>
      <w:r>
        <w:rPr/>
        <w:t>The</w:t>
      </w:r>
      <w:r>
        <w:rPr>
          <w:spacing w:val="29"/>
        </w:rPr>
        <w:t> </w:t>
      </w:r>
      <w:r>
        <w:rPr/>
        <w:t>inclusion</w:t>
      </w:r>
      <w:r>
        <w:rPr>
          <w:spacing w:val="37"/>
        </w:rPr>
        <w:t> </w:t>
      </w:r>
      <w:r>
        <w:rPr/>
        <w:t>criteria</w:t>
      </w:r>
      <w:r>
        <w:rPr>
          <w:spacing w:val="32"/>
        </w:rPr>
        <w:t> </w:t>
      </w:r>
      <w:r>
        <w:rPr/>
        <w:t>for Wave</w:t>
      </w:r>
      <w:r>
        <w:rPr>
          <w:spacing w:val="32"/>
        </w:rPr>
        <w:t> </w:t>
      </w:r>
      <w:r>
        <w:rPr/>
        <w:t>2</w:t>
      </w:r>
      <w:r>
        <w:rPr>
          <w:spacing w:val="23"/>
        </w:rPr>
        <w:t> </w:t>
      </w:r>
      <w:r>
        <w:rPr/>
        <w:t>were</w:t>
      </w:r>
      <w:r>
        <w:rPr>
          <w:spacing w:val="24"/>
        </w:rPr>
        <w:t> </w:t>
      </w:r>
      <w:r>
        <w:rPr/>
        <w:t>the</w:t>
      </w:r>
      <w:r>
        <w:rPr>
          <w:spacing w:val="24"/>
        </w:rPr>
        <w:t> </w:t>
      </w:r>
      <w:r>
        <w:rPr/>
        <w:t>same</w:t>
      </w:r>
      <w:r>
        <w:rPr>
          <w:spacing w:val="27"/>
        </w:rPr>
        <w:t> </w:t>
      </w:r>
      <w:r>
        <w:rPr/>
        <w:t>as</w:t>
      </w:r>
      <w:r>
        <w:rPr>
          <w:spacing w:val="17"/>
        </w:rPr>
        <w:t> </w:t>
      </w:r>
      <w:r>
        <w:rPr/>
        <w:t>those</w:t>
      </w:r>
      <w:r>
        <w:rPr>
          <w:spacing w:val="40"/>
        </w:rPr>
        <w:t> </w:t>
      </w:r>
      <w:r>
        <w:rPr/>
        <w:t>for</w:t>
      </w:r>
      <w:r>
        <w:rPr>
          <w:spacing w:val="40"/>
        </w:rPr>
        <w:t> </w:t>
      </w:r>
      <w:r>
        <w:rPr/>
        <w:t>Wave</w:t>
      </w:r>
      <w:r>
        <w:rPr>
          <w:spacing w:val="38"/>
        </w:rPr>
        <w:t> </w:t>
      </w:r>
      <w:r>
        <w:rPr/>
        <w:t>1</w:t>
      </w:r>
      <w:r>
        <w:rPr>
          <w:spacing w:val="28"/>
        </w:rPr>
        <w:t> </w:t>
      </w:r>
      <w:r>
        <w:rPr/>
        <w:t>and,</w:t>
      </w:r>
      <w:r>
        <w:rPr>
          <w:spacing w:val="23"/>
        </w:rPr>
        <w:t> </w:t>
      </w:r>
      <w:r>
        <w:rPr/>
        <w:t>just</w:t>
      </w:r>
      <w:r>
        <w:rPr>
          <w:spacing w:val="31"/>
        </w:rPr>
        <w:t> </w:t>
      </w:r>
      <w:r>
        <w:rPr/>
        <w:t>as</w:t>
      </w:r>
      <w:r>
        <w:rPr>
          <w:spacing w:val="34"/>
        </w:rPr>
        <w:t> </w:t>
      </w:r>
      <w:r>
        <w:rPr/>
        <w:t>before,</w:t>
      </w:r>
      <w:r>
        <w:rPr>
          <w:spacing w:val="40"/>
        </w:rPr>
        <w:t> </w:t>
      </w:r>
      <w:r>
        <w:rPr/>
        <w:t>participants</w:t>
      </w:r>
      <w:r>
        <w:rPr>
          <w:spacing w:val="63"/>
        </w:rPr>
        <w:t> </w:t>
      </w:r>
      <w:r>
        <w:rPr/>
        <w:t>read</w:t>
      </w:r>
      <w:r>
        <w:rPr>
          <w:spacing w:val="35"/>
        </w:rPr>
        <w:t> </w:t>
      </w:r>
      <w:r>
        <w:rPr/>
        <w:t>and signed</w:t>
      </w:r>
      <w:r>
        <w:rPr>
          <w:spacing w:val="40"/>
        </w:rPr>
        <w:t> </w:t>
      </w:r>
      <w:r>
        <w:rPr/>
        <w:t>an</w:t>
      </w:r>
      <w:r>
        <w:rPr>
          <w:spacing w:val="59"/>
        </w:rPr>
        <w:t> </w:t>
      </w:r>
      <w:r>
        <w:rPr/>
        <w:t>informed</w:t>
      </w:r>
      <w:r>
        <w:rPr>
          <w:spacing w:val="58"/>
        </w:rPr>
        <w:t> </w:t>
      </w:r>
      <w:r>
        <w:rPr/>
        <w:t>consent</w:t>
      </w:r>
      <w:r>
        <w:rPr>
          <w:spacing w:val="57"/>
        </w:rPr>
        <w:t> </w:t>
      </w:r>
      <w:r>
        <w:rPr/>
        <w:t>form</w:t>
      </w:r>
      <w:r>
        <w:rPr>
          <w:spacing w:val="40"/>
        </w:rPr>
        <w:t> </w:t>
      </w:r>
      <w:r>
        <w:rPr/>
        <w:t>approved</w:t>
      </w:r>
      <w:r>
        <w:rPr>
          <w:spacing w:val="77"/>
        </w:rPr>
        <w:t> </w:t>
      </w:r>
      <w:r>
        <w:rPr/>
        <w:t>by</w:t>
      </w:r>
      <w:r>
        <w:rPr>
          <w:spacing w:val="30"/>
        </w:rPr>
        <w:t> </w:t>
      </w:r>
      <w:r>
        <w:rPr/>
        <w:t>the</w:t>
      </w:r>
      <w:r>
        <w:rPr>
          <w:spacing w:val="40"/>
        </w:rPr>
        <w:t> </w:t>
      </w:r>
      <w:r>
        <w:rPr/>
        <w:t>university's</w:t>
      </w:r>
      <w:r>
        <w:rPr>
          <w:spacing w:val="69"/>
        </w:rPr>
        <w:t> </w:t>
      </w:r>
      <w:r>
        <w:rPr/>
        <w:t>Institutional</w:t>
      </w:r>
      <w:r>
        <w:rPr>
          <w:spacing w:val="80"/>
        </w:rPr>
        <w:t> </w:t>
      </w:r>
      <w:r>
        <w:rPr/>
        <w:t>Review</w:t>
      </w:r>
      <w:r>
        <w:rPr/>
        <w:t> </w:t>
      </w:r>
      <w:r>
        <w:rPr>
          <w:spacing w:val="-2"/>
        </w:rPr>
        <w:t>Board.</w:t>
      </w:r>
    </w:p>
    <w:p>
      <w:pPr>
        <w:pStyle w:val="BodyText"/>
        <w:spacing w:line="246" w:lineRule="exact"/>
        <w:ind w:left="407" w:right="65"/>
        <w:jc w:val="center"/>
      </w:pPr>
      <w:r>
        <w:rPr>
          <w:u w:val="thick"/>
        </w:rPr>
        <w:t>Measures</w:t>
      </w:r>
      <w:r>
        <w:rPr>
          <w:spacing w:val="22"/>
          <w:u w:val="thick"/>
        </w:rPr>
        <w:t> </w:t>
      </w:r>
      <w:r>
        <w:rPr>
          <w:u w:val="thick"/>
        </w:rPr>
        <w:t>(Wave</w:t>
      </w:r>
      <w:r>
        <w:rPr>
          <w:spacing w:val="52"/>
          <w:u w:val="thick"/>
        </w:rPr>
        <w:t> </w:t>
      </w:r>
      <w:r>
        <w:rPr>
          <w:u w:val="thick"/>
        </w:rPr>
        <w:t>I</w:t>
      </w:r>
      <w:r>
        <w:rPr>
          <w:spacing w:val="43"/>
          <w:u w:val="thick"/>
        </w:rPr>
        <w:t> </w:t>
      </w:r>
      <w:r>
        <w:rPr>
          <w:u w:val="thick"/>
        </w:rPr>
        <w:t>and</w:t>
      </w:r>
      <w:r>
        <w:rPr>
          <w:spacing w:val="29"/>
          <w:u w:val="thick"/>
        </w:rPr>
        <w:t> </w:t>
      </w:r>
      <w:r>
        <w:rPr>
          <w:spacing w:val="-7"/>
          <w:u w:val="thick"/>
        </w:rPr>
        <w:t>2)</w:t>
      </w:r>
    </w:p>
    <w:p>
      <w:pPr>
        <w:pStyle w:val="BodyText"/>
        <w:spacing w:before="17"/>
      </w:pPr>
    </w:p>
    <w:p>
      <w:pPr>
        <w:pStyle w:val="BodyText"/>
        <w:spacing w:before="1"/>
        <w:ind w:left="466"/>
      </w:pPr>
      <w:r>
        <w:rPr>
          <w:spacing w:val="-2"/>
          <w:w w:val="105"/>
          <w:u w:val="thick"/>
        </w:rPr>
        <w:t>Demographics</w:t>
      </w:r>
    </w:p>
    <w:p>
      <w:pPr>
        <w:pStyle w:val="BodyText"/>
        <w:spacing w:before="17"/>
      </w:pPr>
    </w:p>
    <w:p>
      <w:pPr>
        <w:pStyle w:val="BodyText"/>
        <w:spacing w:line="494" w:lineRule="auto"/>
        <w:ind w:left="458" w:right="136" w:firstLine="705"/>
      </w:pPr>
      <w:r>
        <w:rPr>
          <w:w w:val="105"/>
        </w:rPr>
        <w:t>Demographic</w:t>
      </w:r>
      <w:r>
        <w:rPr>
          <w:spacing w:val="35"/>
          <w:w w:val="105"/>
        </w:rPr>
        <w:t> </w:t>
      </w:r>
      <w:r>
        <w:rPr>
          <w:w w:val="105"/>
        </w:rPr>
        <w:t>information</w:t>
      </w:r>
      <w:r>
        <w:rPr>
          <w:w w:val="105"/>
        </w:rPr>
        <w:t> was obtained</w:t>
      </w:r>
      <w:r>
        <w:rPr>
          <w:spacing w:val="33"/>
          <w:w w:val="105"/>
        </w:rPr>
        <w:t> </w:t>
      </w:r>
      <w:r>
        <w:rPr>
          <w:w w:val="105"/>
        </w:rPr>
        <w:t>from a questionnaire containing a list of descriptive and demographic</w:t>
      </w:r>
      <w:r>
        <w:rPr>
          <w:spacing w:val="30"/>
          <w:w w:val="105"/>
        </w:rPr>
        <w:t> </w:t>
      </w:r>
      <w:r>
        <w:rPr>
          <w:w w:val="105"/>
        </w:rPr>
        <w:t>questions, as well as health</w:t>
      </w:r>
      <w:r>
        <w:rPr>
          <w:spacing w:val="31"/>
          <w:w w:val="105"/>
        </w:rPr>
        <w:t> </w:t>
      </w:r>
      <w:r>
        <w:rPr>
          <w:w w:val="105"/>
        </w:rPr>
        <w:t>history. These questions</w:t>
      </w:r>
      <w:r>
        <w:rPr>
          <w:w w:val="105"/>
        </w:rPr>
        <w:t> included information on age, gender, ethnicity (Caucasian, African</w:t>
      </w:r>
      <w:r>
        <w:rPr>
          <w:w w:val="105"/>
        </w:rPr>
        <w:t> American, Asian or Pacific Islander, American Indian or Alaska Native, other race or</w:t>
      </w:r>
      <w:r>
        <w:rPr>
          <w:w w:val="105"/>
        </w:rPr>
        <w:t> nationality, and multi­ racial), employment [retired, working full-time</w:t>
      </w:r>
      <w:r>
        <w:rPr>
          <w:spacing w:val="-3"/>
          <w:w w:val="105"/>
        </w:rPr>
        <w:t> </w:t>
      </w:r>
      <w:r>
        <w:rPr>
          <w:w w:val="105"/>
        </w:rPr>
        <w:t>(35+ hours/week), working part-time (less than 35 hours/week), on temporary leave (including sick leave), looking for work, permanently disabled,</w:t>
      </w:r>
      <w:r>
        <w:rPr>
          <w:spacing w:val="31"/>
          <w:w w:val="105"/>
        </w:rPr>
        <w:t> </w:t>
      </w:r>
      <w:r>
        <w:rPr>
          <w:w w:val="105"/>
        </w:rPr>
        <w:t>keeping</w:t>
      </w:r>
      <w:r>
        <w:rPr>
          <w:spacing w:val="32"/>
          <w:w w:val="105"/>
        </w:rPr>
        <w:t> </w:t>
      </w:r>
      <w:r>
        <w:rPr>
          <w:w w:val="105"/>
        </w:rPr>
        <w:t>house, and other], education</w:t>
      </w:r>
      <w:r>
        <w:rPr>
          <w:spacing w:val="36"/>
          <w:w w:val="105"/>
        </w:rPr>
        <w:t> </w:t>
      </w:r>
      <w:r>
        <w:rPr>
          <w:w w:val="105"/>
        </w:rPr>
        <w:t>level (grade school, some high school, high school diploma or GED, trade/technical school/ community college/ some college, college degree (baccalaureate), and graduate/ professional</w:t>
      </w:r>
      <w:r>
        <w:rPr>
          <w:spacing w:val="39"/>
          <w:w w:val="105"/>
        </w:rPr>
        <w:t> </w:t>
      </w:r>
      <w:r>
        <w:rPr>
          <w:w w:val="105"/>
        </w:rPr>
        <w:t>school), and</w:t>
      </w:r>
    </w:p>
    <w:p>
      <w:pPr>
        <w:spacing w:after="0" w:line="494" w:lineRule="auto"/>
        <w:sectPr>
          <w:headerReference w:type="default" r:id="rId27"/>
          <w:pgSz w:w="12450" w:h="15760"/>
          <w:pgMar w:header="1021" w:footer="0" w:top="1600" w:bottom="280" w:left="1760" w:right="1720"/>
        </w:sectPr>
      </w:pPr>
    </w:p>
    <w:p>
      <w:pPr>
        <w:pStyle w:val="BodyText"/>
        <w:spacing w:line="496" w:lineRule="auto" w:before="81"/>
        <w:ind w:left="443" w:right="127" w:firstLine="1"/>
      </w:pPr>
      <w:r>
        <w:rPr>
          <w:w w:val="105"/>
        </w:rPr>
        <w:t>medical</w:t>
      </w:r>
      <w:r>
        <w:rPr>
          <w:w w:val="105"/>
        </w:rPr>
        <w:t> history. To evaluate symptoms of FM in terms of intensity, the National Fibromyalgia</w:t>
      </w:r>
      <w:r>
        <w:rPr>
          <w:spacing w:val="35"/>
          <w:w w:val="105"/>
        </w:rPr>
        <w:t> </w:t>
      </w:r>
      <w:r>
        <w:rPr>
          <w:w w:val="105"/>
        </w:rPr>
        <w:t>Association Questionnaire (NFAQ; Bennett et al., 2007) was used with numeric</w:t>
      </w:r>
      <w:r>
        <w:rPr>
          <w:w w:val="105"/>
        </w:rPr>
        <w:t> rating scales.</w:t>
      </w:r>
      <w:r>
        <w:rPr>
          <w:spacing w:val="-4"/>
          <w:w w:val="105"/>
        </w:rPr>
        <w:t> </w:t>
      </w:r>
      <w:r>
        <w:rPr>
          <w:w w:val="105"/>
        </w:rPr>
        <w:t>The intensity of pain (a key variable in the study) was measured with the</w:t>
      </w:r>
      <w:r>
        <w:rPr>
          <w:spacing w:val="-5"/>
          <w:w w:val="105"/>
        </w:rPr>
        <w:t> </w:t>
      </w:r>
      <w:r>
        <w:rPr>
          <w:w w:val="105"/>
        </w:rPr>
        <w:t>question,</w:t>
      </w:r>
      <w:r>
        <w:rPr>
          <w:spacing w:val="-1"/>
          <w:w w:val="105"/>
        </w:rPr>
        <w:t> </w:t>
      </w:r>
      <w:r>
        <w:rPr>
          <w:w w:val="105"/>
        </w:rPr>
        <w:t>"Please circle the number that best describes your</w:t>
      </w:r>
      <w:r>
        <w:rPr>
          <w:spacing w:val="-5"/>
          <w:w w:val="105"/>
        </w:rPr>
        <w:t> </w:t>
      </w:r>
      <w:r>
        <w:rPr>
          <w:w w:val="105"/>
        </w:rPr>
        <w:t>experience with the following on average during the past week". The responses ranged from "O" being the least and "l O" being the most severe. Additional symptoms assessed</w:t>
      </w:r>
      <w:r>
        <w:rPr>
          <w:spacing w:val="36"/>
          <w:w w:val="105"/>
        </w:rPr>
        <w:t> </w:t>
      </w:r>
      <w:r>
        <w:rPr>
          <w:w w:val="105"/>
        </w:rPr>
        <w:t>included fatigue, feeling rested after sleeping, stiffness in the morning, swelling</w:t>
      </w:r>
      <w:r>
        <w:rPr>
          <w:w w:val="105"/>
        </w:rPr>
        <w:t> in legs, feet and ankles, rashes, anxiety, depression concentration</w:t>
      </w:r>
      <w:r>
        <w:rPr>
          <w:spacing w:val="23"/>
          <w:w w:val="105"/>
        </w:rPr>
        <w:t> </w:t>
      </w:r>
      <w:r>
        <w:rPr>
          <w:w w:val="105"/>
        </w:rPr>
        <w:t>problems, forgetfulness,</w:t>
      </w:r>
      <w:r>
        <w:rPr>
          <w:spacing w:val="-5"/>
          <w:w w:val="105"/>
        </w:rPr>
        <w:t> </w:t>
      </w:r>
      <w:r>
        <w:rPr>
          <w:w w:val="105"/>
        </w:rPr>
        <w:t>falling asleep,</w:t>
      </w:r>
      <w:r>
        <w:rPr>
          <w:spacing w:val="-1"/>
          <w:w w:val="105"/>
        </w:rPr>
        <w:t> </w:t>
      </w:r>
      <w:r>
        <w:rPr>
          <w:w w:val="105"/>
        </w:rPr>
        <w:t>staying asleep, restless legs, headaches, abdominal</w:t>
      </w:r>
      <w:r>
        <w:rPr>
          <w:spacing w:val="40"/>
          <w:w w:val="105"/>
        </w:rPr>
        <w:t> </w:t>
      </w:r>
      <w:r>
        <w:rPr>
          <w:w w:val="105"/>
        </w:rPr>
        <w:t>pain, bladder problems, anger, postural instability (balance problems), and dizziness.</w:t>
      </w:r>
    </w:p>
    <w:p>
      <w:pPr>
        <w:pStyle w:val="BodyText"/>
        <w:spacing w:line="250" w:lineRule="exact"/>
        <w:ind w:left="461"/>
      </w:pPr>
      <w:r>
        <w:rPr>
          <w:w w:val="105"/>
          <w:u w:val="thick"/>
        </w:rPr>
        <w:t>Leisure</w:t>
      </w:r>
      <w:r>
        <w:rPr>
          <w:spacing w:val="-9"/>
          <w:w w:val="105"/>
          <w:u w:val="thick"/>
        </w:rPr>
        <w:t> </w:t>
      </w:r>
      <w:r>
        <w:rPr>
          <w:spacing w:val="-2"/>
          <w:w w:val="105"/>
          <w:u w:val="thick"/>
        </w:rPr>
        <w:t>Activities</w:t>
      </w:r>
    </w:p>
    <w:p>
      <w:pPr>
        <w:pStyle w:val="BodyText"/>
        <w:spacing w:before="8"/>
      </w:pPr>
    </w:p>
    <w:p>
      <w:pPr>
        <w:pStyle w:val="BodyText"/>
        <w:spacing w:line="494" w:lineRule="auto"/>
        <w:ind w:left="457" w:right="127" w:firstLine="701"/>
      </w:pPr>
      <w:r>
        <w:rPr>
          <w:w w:val="105"/>
        </w:rPr>
        <w:t>Participants were asked to answer 18</w:t>
      </w:r>
      <w:r>
        <w:rPr>
          <w:spacing w:val="-5"/>
          <w:w w:val="105"/>
        </w:rPr>
        <w:t> </w:t>
      </w:r>
      <w:r>
        <w:rPr>
          <w:w w:val="105"/>
        </w:rPr>
        <w:t>questions to assess their participation</w:t>
      </w:r>
      <w:r>
        <w:rPr>
          <w:spacing w:val="38"/>
          <w:w w:val="105"/>
        </w:rPr>
        <w:t> </w:t>
      </w:r>
      <w:r>
        <w:rPr>
          <w:w w:val="105"/>
        </w:rPr>
        <w:t>in leisure activities. Fifteen of</w:t>
      </w:r>
      <w:r>
        <w:rPr>
          <w:spacing w:val="-2"/>
          <w:w w:val="105"/>
        </w:rPr>
        <w:t> </w:t>
      </w:r>
      <w:r>
        <w:rPr>
          <w:w w:val="105"/>
        </w:rPr>
        <w:t>these items were adopted</w:t>
      </w:r>
      <w:r>
        <w:rPr>
          <w:w w:val="105"/>
        </w:rPr>
        <w:t> from a social activities scale by House, Robbins, and Metzner (1982), which evaluate the frequency of social</w:t>
      </w:r>
      <w:r>
        <w:rPr>
          <w:w w:val="105"/>
        </w:rPr>
        <w:t> leisure pursuits,</w:t>
      </w:r>
      <w:r>
        <w:rPr>
          <w:spacing w:val="-8"/>
          <w:w w:val="105"/>
        </w:rPr>
        <w:t> </w:t>
      </w:r>
      <w:r>
        <w:rPr>
          <w:w w:val="105"/>
        </w:rPr>
        <w:t>solitary leisure pursuits, intimate social relationships,</w:t>
      </w:r>
      <w:r>
        <w:rPr>
          <w:spacing w:val="-15"/>
          <w:w w:val="105"/>
        </w:rPr>
        <w:t> </w:t>
      </w:r>
      <w:r>
        <w:rPr>
          <w:w w:val="105"/>
        </w:rPr>
        <w:t>and formal involvement</w:t>
      </w:r>
      <w:r>
        <w:rPr>
          <w:spacing w:val="15"/>
          <w:w w:val="105"/>
        </w:rPr>
        <w:t> </w:t>
      </w:r>
      <w:r>
        <w:rPr>
          <w:w w:val="105"/>
        </w:rPr>
        <w:t>in organizations.</w:t>
      </w:r>
      <w:r>
        <w:rPr>
          <w:spacing w:val="-16"/>
          <w:w w:val="105"/>
        </w:rPr>
        <w:t> </w:t>
      </w:r>
      <w:r>
        <w:rPr>
          <w:w w:val="105"/>
        </w:rPr>
        <w:t>Three of the 18 items were added to the original scale with two items expanding on intimate relationships (talking on the phone with relatives, talking on the phone with friends) and one expanding on solitary</w:t>
      </w:r>
      <w:r>
        <w:rPr>
          <w:spacing w:val="28"/>
          <w:w w:val="105"/>
        </w:rPr>
        <w:t> </w:t>
      </w:r>
      <w:r>
        <w:rPr>
          <w:w w:val="105"/>
        </w:rPr>
        <w:t>leisure pursuits (engaging</w:t>
      </w:r>
      <w:r>
        <w:rPr>
          <w:spacing w:val="29"/>
          <w:w w:val="105"/>
        </w:rPr>
        <w:t> </w:t>
      </w:r>
      <w:r>
        <w:rPr>
          <w:w w:val="105"/>
        </w:rPr>
        <w:t>in</w:t>
      </w:r>
      <w:r>
        <w:rPr>
          <w:spacing w:val="23"/>
          <w:w w:val="105"/>
        </w:rPr>
        <w:t> </w:t>
      </w:r>
      <w:r>
        <w:rPr>
          <w:w w:val="105"/>
        </w:rPr>
        <w:t>projects or hobbies around the house). Two of the items ("go to</w:t>
      </w:r>
      <w:r>
        <w:rPr>
          <w:spacing w:val="-1"/>
          <w:w w:val="105"/>
        </w:rPr>
        <w:t> </w:t>
      </w:r>
      <w:r>
        <w:rPr>
          <w:w w:val="105"/>
        </w:rPr>
        <w:t>church" and "go</w:t>
      </w:r>
      <w:r>
        <w:rPr>
          <w:spacing w:val="36"/>
          <w:w w:val="105"/>
        </w:rPr>
        <w:t> </w:t>
      </w:r>
      <w:r>
        <w:rPr>
          <w:w w:val="105"/>
        </w:rPr>
        <w:t>to classes/lectures", items 8 and</w:t>
      </w:r>
      <w:r>
        <w:rPr>
          <w:spacing w:val="40"/>
          <w:w w:val="105"/>
        </w:rPr>
        <w:t> </w:t>
      </w:r>
      <w:r>
        <w:rPr>
          <w:w w:val="105"/>
        </w:rPr>
        <w:t>IO from</w:t>
      </w:r>
      <w:r>
        <w:rPr>
          <w:spacing w:val="20"/>
          <w:w w:val="105"/>
        </w:rPr>
        <w:t> </w:t>
      </w:r>
      <w:r>
        <w:rPr>
          <w:w w:val="105"/>
        </w:rPr>
        <w:t>the first section)</w:t>
      </w:r>
      <w:r>
        <w:rPr>
          <w:spacing w:val="21"/>
          <w:w w:val="105"/>
        </w:rPr>
        <w:t> </w:t>
      </w:r>
      <w:r>
        <w:rPr>
          <w:w w:val="105"/>
        </w:rPr>
        <w:t>were removed</w:t>
      </w:r>
      <w:r>
        <w:rPr>
          <w:spacing w:val="29"/>
          <w:w w:val="105"/>
        </w:rPr>
        <w:t> </w:t>
      </w:r>
      <w:r>
        <w:rPr>
          <w:w w:val="105"/>
        </w:rPr>
        <w:t>at the analysis</w:t>
      </w:r>
      <w:r>
        <w:rPr>
          <w:w w:val="105"/>
        </w:rPr>
        <w:t> stage as</w:t>
      </w:r>
      <w:r>
        <w:rPr>
          <w:spacing w:val="-5"/>
          <w:w w:val="105"/>
        </w:rPr>
        <w:t> </w:t>
      </w:r>
      <w:r>
        <w:rPr>
          <w:w w:val="105"/>
        </w:rPr>
        <w:t>they had the highest SDs</w:t>
      </w:r>
      <w:r>
        <w:rPr>
          <w:spacing w:val="-6"/>
          <w:w w:val="105"/>
        </w:rPr>
        <w:t> </w:t>
      </w:r>
      <w:r>
        <w:rPr>
          <w:w w:val="105"/>
        </w:rPr>
        <w:t>out of</w:t>
      </w:r>
      <w:r>
        <w:rPr>
          <w:spacing w:val="-6"/>
          <w:w w:val="105"/>
        </w:rPr>
        <w:t> </w:t>
      </w:r>
      <w:r>
        <w:rPr>
          <w:w w:val="105"/>
        </w:rPr>
        <w:t>all the 18 items (1.50 and 1.40 respectively) and they were bimodally distributed. Three subgroups of the scale were created as follows: overall</w:t>
      </w:r>
      <w:r>
        <w:rPr>
          <w:spacing w:val="32"/>
          <w:w w:val="105"/>
        </w:rPr>
        <w:t> </w:t>
      </w:r>
      <w:r>
        <w:rPr>
          <w:w w:val="105"/>
        </w:rPr>
        <w:t>leisure (total of 16 items, alpha= .76), active leisure (total of 9 items, first</w:t>
      </w:r>
      <w:r>
        <w:rPr>
          <w:spacing w:val="40"/>
          <w:w w:val="105"/>
        </w:rPr>
        <w:t> </w:t>
      </w:r>
      <w:r>
        <w:rPr>
          <w:w w:val="105"/>
        </w:rPr>
        <w:t>I</w:t>
      </w:r>
      <w:r>
        <w:rPr>
          <w:spacing w:val="-23"/>
          <w:w w:val="105"/>
        </w:rPr>
        <w:t> </w:t>
      </w:r>
      <w:r>
        <w:rPr>
          <w:w w:val="105"/>
        </w:rPr>
        <w:t>0</w:t>
      </w:r>
    </w:p>
    <w:p>
      <w:pPr>
        <w:spacing w:after="0" w:line="494" w:lineRule="auto"/>
        <w:sectPr>
          <w:pgSz w:w="12450" w:h="15750"/>
          <w:pgMar w:header="1021" w:footer="0" w:top="1600" w:bottom="280" w:left="1760" w:right="1760"/>
        </w:sectPr>
      </w:pPr>
    </w:p>
    <w:p>
      <w:pPr>
        <w:pStyle w:val="BodyText"/>
        <w:spacing w:line="501" w:lineRule="auto" w:before="81"/>
        <w:ind w:left="452" w:right="127" w:hanging="3"/>
      </w:pPr>
      <w:r>
        <w:rPr>
          <w:w w:val="105"/>
        </w:rPr>
        <w:t>items without</w:t>
      </w:r>
      <w:r>
        <w:rPr>
          <w:w w:val="105"/>
        </w:rPr>
        <w:t> item 8 and</w:t>
      </w:r>
      <w:r>
        <w:rPr>
          <w:spacing w:val="39"/>
          <w:w w:val="105"/>
        </w:rPr>
        <w:t> </w:t>
      </w:r>
      <w:r>
        <w:rPr>
          <w:w w:val="105"/>
        </w:rPr>
        <w:t>I</w:t>
      </w:r>
      <w:r>
        <w:rPr>
          <w:spacing w:val="-25"/>
          <w:w w:val="105"/>
        </w:rPr>
        <w:t> </w:t>
      </w:r>
      <w:r>
        <w:rPr>
          <w:w w:val="105"/>
        </w:rPr>
        <w:t>0, adding item 8 from the second section,</w:t>
      </w:r>
      <w:r>
        <w:rPr>
          <w:spacing w:val="-1"/>
          <w:w w:val="105"/>
        </w:rPr>
        <w:t> </w:t>
      </w:r>
      <w:r>
        <w:rPr>
          <w:w w:val="105"/>
        </w:rPr>
        <w:t>alpha = .71), and passive leisure</w:t>
      </w:r>
      <w:r>
        <w:rPr>
          <w:spacing w:val="-2"/>
          <w:w w:val="105"/>
        </w:rPr>
        <w:t> </w:t>
      </w:r>
      <w:r>
        <w:rPr>
          <w:w w:val="105"/>
        </w:rPr>
        <w:t>(total of</w:t>
      </w:r>
      <w:r>
        <w:rPr>
          <w:spacing w:val="-7"/>
          <w:w w:val="105"/>
        </w:rPr>
        <w:t> </w:t>
      </w:r>
      <w:r>
        <w:rPr>
          <w:w w:val="105"/>
        </w:rPr>
        <w:t>7</w:t>
      </w:r>
      <w:r>
        <w:rPr>
          <w:spacing w:val="-4"/>
          <w:w w:val="105"/>
        </w:rPr>
        <w:t> </w:t>
      </w:r>
      <w:r>
        <w:rPr>
          <w:w w:val="105"/>
        </w:rPr>
        <w:t>items, 8 items</w:t>
      </w:r>
      <w:r>
        <w:rPr>
          <w:spacing w:val="-5"/>
          <w:w w:val="105"/>
        </w:rPr>
        <w:t> </w:t>
      </w:r>
      <w:r>
        <w:rPr>
          <w:w w:val="105"/>
        </w:rPr>
        <w:t>from the</w:t>
      </w:r>
      <w:r>
        <w:rPr>
          <w:spacing w:val="-4"/>
          <w:w w:val="105"/>
        </w:rPr>
        <w:t> </w:t>
      </w:r>
      <w:r>
        <w:rPr>
          <w:w w:val="105"/>
        </w:rPr>
        <w:t>second section without</w:t>
      </w:r>
      <w:r>
        <w:rPr>
          <w:spacing w:val="17"/>
          <w:w w:val="105"/>
        </w:rPr>
        <w:t> </w:t>
      </w:r>
      <w:r>
        <w:rPr>
          <w:w w:val="105"/>
        </w:rPr>
        <w:t>item 8,</w:t>
      </w:r>
      <w:r>
        <w:rPr>
          <w:spacing w:val="-14"/>
          <w:w w:val="105"/>
        </w:rPr>
        <w:t> </w:t>
      </w:r>
      <w:r>
        <w:rPr>
          <w:w w:val="105"/>
        </w:rPr>
        <w:t>alpha =</w:t>
      </w:r>
    </w:p>
    <w:p>
      <w:pPr>
        <w:pStyle w:val="BodyText"/>
        <w:spacing w:line="252" w:lineRule="exact"/>
        <w:ind w:left="440"/>
      </w:pPr>
      <w:r>
        <w:rPr>
          <w:w w:val="105"/>
        </w:rPr>
        <w:t>.65).</w:t>
      </w:r>
      <w:r>
        <w:rPr>
          <w:spacing w:val="-12"/>
          <w:w w:val="105"/>
        </w:rPr>
        <w:t> </w:t>
      </w:r>
      <w:r>
        <w:rPr>
          <w:w w:val="105"/>
        </w:rPr>
        <w:t>Test-retest</w:t>
      </w:r>
      <w:r>
        <w:rPr>
          <w:spacing w:val="20"/>
          <w:w w:val="105"/>
        </w:rPr>
        <w:t> </w:t>
      </w:r>
      <w:r>
        <w:rPr>
          <w:w w:val="105"/>
        </w:rPr>
        <w:t>reliability</w:t>
      </w:r>
      <w:r>
        <w:rPr>
          <w:spacing w:val="12"/>
          <w:w w:val="105"/>
        </w:rPr>
        <w:t> </w:t>
      </w:r>
      <w:r>
        <w:rPr>
          <w:w w:val="105"/>
        </w:rPr>
        <w:t>values</w:t>
      </w:r>
      <w:r>
        <w:rPr>
          <w:spacing w:val="2"/>
          <w:w w:val="105"/>
        </w:rPr>
        <w:t> </w:t>
      </w:r>
      <w:r>
        <w:rPr>
          <w:w w:val="105"/>
        </w:rPr>
        <w:t>for</w:t>
      </w:r>
      <w:r>
        <w:rPr>
          <w:spacing w:val="-8"/>
          <w:w w:val="105"/>
        </w:rPr>
        <w:t> </w:t>
      </w:r>
      <w:r>
        <w:rPr>
          <w:w w:val="105"/>
        </w:rPr>
        <w:t>these</w:t>
      </w:r>
      <w:r>
        <w:rPr>
          <w:spacing w:val="-4"/>
          <w:w w:val="105"/>
        </w:rPr>
        <w:t> </w:t>
      </w:r>
      <w:r>
        <w:rPr>
          <w:w w:val="105"/>
        </w:rPr>
        <w:t>subscales</w:t>
      </w:r>
      <w:r>
        <w:rPr>
          <w:spacing w:val="3"/>
          <w:w w:val="105"/>
        </w:rPr>
        <w:t> </w:t>
      </w:r>
      <w:r>
        <w:rPr>
          <w:w w:val="105"/>
        </w:rPr>
        <w:t>were</w:t>
      </w:r>
      <w:r>
        <w:rPr>
          <w:spacing w:val="-2"/>
          <w:w w:val="105"/>
        </w:rPr>
        <w:t> </w:t>
      </w:r>
      <w:r>
        <w:rPr>
          <w:i/>
          <w:w w:val="105"/>
        </w:rPr>
        <w:t>r</w:t>
      </w:r>
      <w:r>
        <w:rPr>
          <w:i/>
          <w:spacing w:val="-10"/>
          <w:w w:val="105"/>
        </w:rPr>
        <w:t> </w:t>
      </w:r>
      <w:r>
        <w:rPr>
          <w:w w:val="105"/>
          <w:sz w:val="26"/>
        </w:rPr>
        <w:t>=</w:t>
      </w:r>
      <w:r>
        <w:rPr>
          <w:spacing w:val="-16"/>
          <w:w w:val="105"/>
          <w:sz w:val="26"/>
        </w:rPr>
        <w:t> </w:t>
      </w:r>
      <w:r>
        <w:rPr>
          <w:w w:val="105"/>
        </w:rPr>
        <w:t>.70,</w:t>
      </w:r>
      <w:r>
        <w:rPr>
          <w:spacing w:val="-7"/>
          <w:w w:val="105"/>
        </w:rPr>
        <w:t> </w:t>
      </w:r>
      <w:r>
        <w:rPr>
          <w:i/>
          <w:w w:val="105"/>
        </w:rPr>
        <w:t>r</w:t>
      </w:r>
      <w:r>
        <w:rPr>
          <w:i/>
          <w:spacing w:val="-7"/>
          <w:w w:val="105"/>
        </w:rPr>
        <w:t> </w:t>
      </w:r>
      <w:r>
        <w:rPr>
          <w:w w:val="105"/>
          <w:sz w:val="26"/>
        </w:rPr>
        <w:t>=</w:t>
      </w:r>
      <w:r>
        <w:rPr>
          <w:spacing w:val="-15"/>
          <w:w w:val="105"/>
          <w:sz w:val="26"/>
        </w:rPr>
        <w:t> </w:t>
      </w:r>
      <w:r>
        <w:rPr>
          <w:w w:val="105"/>
        </w:rPr>
        <w:t>.70,</w:t>
      </w:r>
      <w:r>
        <w:rPr>
          <w:spacing w:val="-8"/>
          <w:w w:val="105"/>
        </w:rPr>
        <w:t> </w:t>
      </w:r>
      <w:r>
        <w:rPr>
          <w:w w:val="105"/>
        </w:rPr>
        <w:t>and</w:t>
      </w:r>
      <w:r>
        <w:rPr>
          <w:spacing w:val="3"/>
          <w:w w:val="105"/>
        </w:rPr>
        <w:t> </w:t>
      </w:r>
      <w:r>
        <w:rPr>
          <w:i/>
          <w:w w:val="105"/>
        </w:rPr>
        <w:t>r</w:t>
      </w:r>
      <w:r>
        <w:rPr>
          <w:i/>
          <w:spacing w:val="-2"/>
          <w:w w:val="105"/>
        </w:rPr>
        <w:t> </w:t>
      </w:r>
      <w:r>
        <w:rPr>
          <w:w w:val="105"/>
          <w:sz w:val="26"/>
        </w:rPr>
        <w:t>=</w:t>
      </w:r>
      <w:r>
        <w:rPr>
          <w:spacing w:val="-11"/>
          <w:w w:val="105"/>
          <w:sz w:val="26"/>
        </w:rPr>
        <w:t> </w:t>
      </w:r>
      <w:r>
        <w:rPr>
          <w:spacing w:val="-4"/>
          <w:w w:val="105"/>
        </w:rPr>
        <w:t>.62,</w:t>
      </w:r>
    </w:p>
    <w:p>
      <w:pPr>
        <w:pStyle w:val="BodyText"/>
        <w:spacing w:before="9"/>
      </w:pPr>
    </w:p>
    <w:p>
      <w:pPr>
        <w:pStyle w:val="BodyText"/>
        <w:spacing w:line="496" w:lineRule="auto"/>
        <w:ind w:left="443" w:right="179" w:firstLine="6"/>
      </w:pPr>
      <w:r>
        <w:rPr>
          <w:w w:val="105"/>
        </w:rPr>
        <w:t>respectively. Response options for</w:t>
      </w:r>
      <w:r>
        <w:rPr>
          <w:spacing w:val="-1"/>
          <w:w w:val="105"/>
        </w:rPr>
        <w:t> </w:t>
      </w:r>
      <w:r>
        <w:rPr>
          <w:w w:val="105"/>
        </w:rPr>
        <w:t>the first 10</w:t>
      </w:r>
      <w:r>
        <w:rPr>
          <w:spacing w:val="-7"/>
          <w:w w:val="105"/>
        </w:rPr>
        <w:t> </w:t>
      </w:r>
      <w:r>
        <w:rPr>
          <w:w w:val="105"/>
        </w:rPr>
        <w:t>questions were as</w:t>
      </w:r>
      <w:r>
        <w:rPr>
          <w:spacing w:val="-1"/>
          <w:w w:val="105"/>
        </w:rPr>
        <w:t> </w:t>
      </w:r>
      <w:r>
        <w:rPr>
          <w:w w:val="105"/>
        </w:rPr>
        <w:t>follows: never, less</w:t>
      </w:r>
      <w:r>
        <w:rPr>
          <w:spacing w:val="-9"/>
          <w:w w:val="105"/>
        </w:rPr>
        <w:t> </w:t>
      </w:r>
      <w:r>
        <w:rPr>
          <w:w w:val="105"/>
        </w:rPr>
        <w:t>than once a month, 1-3 times a month, about once a week, and more than once a week. Each response option was given a numerical</w:t>
      </w:r>
      <w:r>
        <w:rPr>
          <w:spacing w:val="33"/>
          <w:w w:val="105"/>
        </w:rPr>
        <w:t> </w:t>
      </w:r>
      <w:r>
        <w:rPr>
          <w:w w:val="105"/>
        </w:rPr>
        <w:t>value from "1"</w:t>
      </w:r>
      <w:r>
        <w:rPr>
          <w:spacing w:val="40"/>
          <w:w w:val="105"/>
        </w:rPr>
        <w:t> </w:t>
      </w:r>
      <w:r>
        <w:rPr>
          <w:w w:val="105"/>
        </w:rPr>
        <w:t>being the least frequent to</w:t>
      </w:r>
      <w:r>
        <w:rPr>
          <w:spacing w:val="-12"/>
          <w:w w:val="105"/>
        </w:rPr>
        <w:t> </w:t>
      </w:r>
      <w:r>
        <w:rPr>
          <w:w w:val="105"/>
        </w:rPr>
        <w:t>"5" being the most frequent. The last eight items had the following</w:t>
      </w:r>
      <w:r>
        <w:rPr>
          <w:spacing w:val="25"/>
          <w:w w:val="105"/>
        </w:rPr>
        <w:t> </w:t>
      </w:r>
      <w:r>
        <w:rPr>
          <w:w w:val="105"/>
        </w:rPr>
        <w:t>response choices: less</w:t>
      </w:r>
      <w:r>
        <w:rPr>
          <w:spacing w:val="40"/>
          <w:w w:val="105"/>
        </w:rPr>
        <w:t> </w:t>
      </w:r>
      <w:r>
        <w:rPr>
          <w:w w:val="105"/>
        </w:rPr>
        <w:t>than 15 minutes a day, 15 minutes to 1 hour a</w:t>
      </w:r>
      <w:r>
        <w:rPr>
          <w:spacing w:val="-1"/>
          <w:w w:val="105"/>
        </w:rPr>
        <w:t> </w:t>
      </w:r>
      <w:r>
        <w:rPr>
          <w:w w:val="105"/>
        </w:rPr>
        <w:t>day, 1-3 hours a</w:t>
      </w:r>
      <w:r>
        <w:rPr>
          <w:spacing w:val="-2"/>
          <w:w w:val="105"/>
        </w:rPr>
        <w:t> </w:t>
      </w:r>
      <w:r>
        <w:rPr>
          <w:w w:val="105"/>
        </w:rPr>
        <w:t>day, 3-5 hours a</w:t>
      </w:r>
      <w:r>
        <w:rPr>
          <w:spacing w:val="-2"/>
          <w:w w:val="105"/>
        </w:rPr>
        <w:t> </w:t>
      </w:r>
      <w:r>
        <w:rPr>
          <w:w w:val="105"/>
        </w:rPr>
        <w:t>day, and more than 5 hours a day. As with the first ten questions, these response options were coded with</w:t>
      </w:r>
      <w:r>
        <w:rPr>
          <w:spacing w:val="-1"/>
          <w:w w:val="105"/>
        </w:rPr>
        <w:t> </w:t>
      </w:r>
      <w:r>
        <w:rPr>
          <w:w w:val="105"/>
        </w:rPr>
        <w:t>"1"</w:t>
      </w:r>
      <w:r>
        <w:rPr>
          <w:spacing w:val="35"/>
          <w:w w:val="105"/>
        </w:rPr>
        <w:t> </w:t>
      </w:r>
      <w:r>
        <w:rPr>
          <w:w w:val="105"/>
        </w:rPr>
        <w:t>representing the</w:t>
      </w:r>
      <w:r>
        <w:rPr>
          <w:spacing w:val="-1"/>
          <w:w w:val="105"/>
        </w:rPr>
        <w:t> </w:t>
      </w:r>
      <w:r>
        <w:rPr>
          <w:w w:val="105"/>
        </w:rPr>
        <w:t>shortest duration of</w:t>
      </w:r>
      <w:r>
        <w:rPr>
          <w:spacing w:val="-2"/>
          <w:w w:val="105"/>
        </w:rPr>
        <w:t> </w:t>
      </w:r>
      <w:r>
        <w:rPr>
          <w:w w:val="105"/>
        </w:rPr>
        <w:t>time</w:t>
      </w:r>
      <w:r>
        <w:rPr>
          <w:spacing w:val="-6"/>
          <w:w w:val="105"/>
        </w:rPr>
        <w:t> </w:t>
      </w:r>
      <w:r>
        <w:rPr>
          <w:w w:val="105"/>
        </w:rPr>
        <w:t>engaged in</w:t>
      </w:r>
      <w:r>
        <w:rPr>
          <w:spacing w:val="-9"/>
          <w:w w:val="105"/>
        </w:rPr>
        <w:t> </w:t>
      </w:r>
      <w:r>
        <w:rPr>
          <w:w w:val="105"/>
        </w:rPr>
        <w:t>an activity</w:t>
      </w:r>
      <w:r>
        <w:rPr>
          <w:spacing w:val="-1"/>
          <w:w w:val="105"/>
        </w:rPr>
        <w:t> </w:t>
      </w:r>
      <w:r>
        <w:rPr>
          <w:w w:val="105"/>
        </w:rPr>
        <w:t>and</w:t>
      </w:r>
      <w:r>
        <w:rPr>
          <w:spacing w:val="-2"/>
          <w:w w:val="105"/>
        </w:rPr>
        <w:t> </w:t>
      </w:r>
      <w:r>
        <w:rPr>
          <w:w w:val="105"/>
        </w:rPr>
        <w:t>"5"</w:t>
      </w:r>
      <w:r>
        <w:rPr>
          <w:w w:val="105"/>
        </w:rPr>
        <w:t> - the longest (see Appendix).</w:t>
      </w:r>
    </w:p>
    <w:p>
      <w:pPr>
        <w:pStyle w:val="BodyText"/>
        <w:spacing w:line="250" w:lineRule="exact"/>
        <w:ind w:left="462"/>
      </w:pPr>
      <w:r>
        <w:rPr>
          <w:spacing w:val="-2"/>
          <w:w w:val="105"/>
          <w:u w:val="thick"/>
        </w:rPr>
        <w:t>Depressive</w:t>
      </w:r>
      <w:r>
        <w:rPr>
          <w:spacing w:val="2"/>
          <w:w w:val="105"/>
          <w:u w:val="thick"/>
        </w:rPr>
        <w:t> </w:t>
      </w:r>
      <w:r>
        <w:rPr>
          <w:spacing w:val="-2"/>
          <w:w w:val="105"/>
          <w:u w:val="thick"/>
        </w:rPr>
        <w:t>Symptoms</w:t>
      </w:r>
    </w:p>
    <w:p>
      <w:pPr>
        <w:pStyle w:val="BodyText"/>
        <w:spacing w:before="8"/>
      </w:pPr>
    </w:p>
    <w:p>
      <w:pPr>
        <w:pStyle w:val="BodyText"/>
        <w:spacing w:line="494" w:lineRule="auto"/>
        <w:ind w:left="462" w:right="179" w:firstLine="683"/>
      </w:pPr>
      <w:r>
        <w:rPr>
          <w:w w:val="105"/>
        </w:rPr>
        <w:t>The Beck Depression</w:t>
      </w:r>
      <w:r>
        <w:rPr>
          <w:spacing w:val="32"/>
          <w:w w:val="105"/>
        </w:rPr>
        <w:t> </w:t>
      </w:r>
      <w:r>
        <w:rPr>
          <w:w w:val="105"/>
        </w:rPr>
        <w:t>Inventory</w:t>
      </w:r>
      <w:r>
        <w:rPr>
          <w:w w:val="105"/>
        </w:rPr>
        <w:t> II (BDI-11) (Beck, Steer, &amp; Brown, 1996) was used to</w:t>
      </w:r>
      <w:r>
        <w:rPr>
          <w:spacing w:val="-10"/>
          <w:w w:val="105"/>
        </w:rPr>
        <w:t> </w:t>
      </w:r>
      <w:r>
        <w:rPr>
          <w:w w:val="105"/>
        </w:rPr>
        <w:t>assess depression. The tool has</w:t>
      </w:r>
      <w:r>
        <w:rPr>
          <w:spacing w:val="-1"/>
          <w:w w:val="105"/>
        </w:rPr>
        <w:t> </w:t>
      </w:r>
      <w:r>
        <w:rPr>
          <w:w w:val="105"/>
        </w:rPr>
        <w:t>strong validity and reliability across a variety of populations, and has been</w:t>
      </w:r>
      <w:r>
        <w:rPr>
          <w:w w:val="105"/>
        </w:rPr>
        <w:t> used previously with chronic pain samples (Poole, White, Blake,</w:t>
      </w:r>
      <w:r>
        <w:rPr>
          <w:spacing w:val="-1"/>
          <w:w w:val="105"/>
        </w:rPr>
        <w:t> </w:t>
      </w:r>
      <w:r>
        <w:rPr>
          <w:w w:val="105"/>
        </w:rPr>
        <w:t>Murphy, &amp; Bramwell, 2009). It is</w:t>
      </w:r>
      <w:r>
        <w:rPr>
          <w:spacing w:val="-13"/>
          <w:w w:val="105"/>
        </w:rPr>
        <w:t> </w:t>
      </w:r>
      <w:r>
        <w:rPr>
          <w:w w:val="105"/>
        </w:rPr>
        <w:t>a</w:t>
      </w:r>
      <w:r>
        <w:rPr>
          <w:spacing w:val="-4"/>
          <w:w w:val="105"/>
        </w:rPr>
        <w:t> </w:t>
      </w:r>
      <w:r>
        <w:rPr>
          <w:w w:val="105"/>
        </w:rPr>
        <w:t>21-item</w:t>
      </w:r>
      <w:r>
        <w:rPr>
          <w:w w:val="105"/>
        </w:rPr>
        <w:t> self-report instrument</w:t>
      </w:r>
      <w:r>
        <w:rPr>
          <w:w w:val="105"/>
        </w:rPr>
        <w:t> that is used to assess the occurrence and level of severity of symptoms of</w:t>
      </w:r>
      <w:r>
        <w:rPr>
          <w:spacing w:val="-1"/>
          <w:w w:val="105"/>
        </w:rPr>
        <w:t> </w:t>
      </w:r>
      <w:r>
        <w:rPr>
          <w:w w:val="105"/>
        </w:rPr>
        <w:t>depression</w:t>
      </w:r>
      <w:r>
        <w:rPr>
          <w:spacing w:val="34"/>
          <w:w w:val="105"/>
        </w:rPr>
        <w:t> </w:t>
      </w:r>
      <w:r>
        <w:rPr>
          <w:w w:val="105"/>
        </w:rPr>
        <w:t>as listed in the American</w:t>
      </w:r>
      <w:r>
        <w:rPr>
          <w:spacing w:val="40"/>
          <w:w w:val="105"/>
        </w:rPr>
        <w:t> </w:t>
      </w:r>
      <w:r>
        <w:rPr>
          <w:w w:val="105"/>
        </w:rPr>
        <w:t>Psychiatric Association's</w:t>
      </w:r>
      <w:r>
        <w:rPr>
          <w:w w:val="105"/>
        </w:rPr>
        <w:t> </w:t>
      </w:r>
      <w:r>
        <w:rPr>
          <w:i/>
          <w:w w:val="105"/>
        </w:rPr>
        <w:t>Diagnostic and Statistical Manual of Mental</w:t>
      </w:r>
      <w:r>
        <w:rPr>
          <w:i/>
          <w:w w:val="105"/>
        </w:rPr>
        <w:t> Disorders </w:t>
      </w:r>
      <w:r>
        <w:rPr>
          <w:w w:val="105"/>
        </w:rPr>
        <w:t>-</w:t>
      </w:r>
      <w:r>
        <w:rPr>
          <w:spacing w:val="40"/>
          <w:w w:val="105"/>
        </w:rPr>
        <w:t> </w:t>
      </w:r>
      <w:r>
        <w:rPr>
          <w:i/>
          <w:w w:val="105"/>
        </w:rPr>
        <w:t>Fourth Edition </w:t>
      </w:r>
      <w:r>
        <w:rPr>
          <w:w w:val="105"/>
        </w:rPr>
        <w:t>(DSM-IV,</w:t>
      </w:r>
      <w:r>
        <w:rPr>
          <w:w w:val="105"/>
        </w:rPr>
        <w:t> 1994). BDI-II</w:t>
      </w:r>
      <w:r>
        <w:rPr>
          <w:w w:val="105"/>
        </w:rPr>
        <w:t> uses</w:t>
      </w:r>
      <w:r>
        <w:rPr>
          <w:spacing w:val="-2"/>
          <w:w w:val="105"/>
        </w:rPr>
        <w:t> </w:t>
      </w:r>
      <w:r>
        <w:rPr>
          <w:w w:val="105"/>
        </w:rPr>
        <w:t>a four-point scale response range</w:t>
      </w:r>
      <w:r>
        <w:rPr>
          <w:spacing w:val="-3"/>
          <w:w w:val="105"/>
        </w:rPr>
        <w:t> </w:t>
      </w:r>
      <w:r>
        <w:rPr>
          <w:w w:val="105"/>
        </w:rPr>
        <w:t>of</w:t>
      </w:r>
      <w:r>
        <w:rPr>
          <w:spacing w:val="-7"/>
          <w:w w:val="105"/>
        </w:rPr>
        <w:t> </w:t>
      </w:r>
      <w:r>
        <w:rPr>
          <w:w w:val="105"/>
        </w:rPr>
        <w:t>0-3</w:t>
      </w:r>
      <w:r>
        <w:rPr>
          <w:spacing w:val="-3"/>
          <w:w w:val="105"/>
        </w:rPr>
        <w:t> </w:t>
      </w:r>
      <w:r>
        <w:rPr>
          <w:w w:val="105"/>
        </w:rPr>
        <w:t>for every question with the</w:t>
      </w:r>
      <w:r>
        <w:rPr>
          <w:spacing w:val="-8"/>
          <w:w w:val="105"/>
        </w:rPr>
        <w:t> </w:t>
      </w:r>
      <w:r>
        <w:rPr>
          <w:w w:val="105"/>
        </w:rPr>
        <w:t>exception of items 16</w:t>
      </w:r>
      <w:r>
        <w:rPr>
          <w:spacing w:val="-7"/>
          <w:w w:val="105"/>
        </w:rPr>
        <w:t> </w:t>
      </w:r>
      <w:r>
        <w:rPr>
          <w:w w:val="105"/>
        </w:rPr>
        <w:t>and 18, where a response range of</w:t>
      </w:r>
      <w:r>
        <w:rPr>
          <w:spacing w:val="-2"/>
          <w:w w:val="105"/>
        </w:rPr>
        <w:t> </w:t>
      </w:r>
      <w:r>
        <w:rPr>
          <w:w w:val="105"/>
        </w:rPr>
        <w:t>0-6 is used. Responses to</w:t>
      </w:r>
      <w:r>
        <w:rPr>
          <w:spacing w:val="-1"/>
          <w:w w:val="105"/>
        </w:rPr>
        <w:t> </w:t>
      </w:r>
      <w:r>
        <w:rPr>
          <w:w w:val="105"/>
        </w:rPr>
        <w:t>all questions are added together for an overall score. An overall score of 0-13 represents a minimal</w:t>
      </w:r>
      <w:r>
        <w:rPr>
          <w:w w:val="105"/>
        </w:rPr>
        <w:t> range, 14-19 mild, 20-28 moderate, and</w:t>
      </w:r>
    </w:p>
    <w:p>
      <w:pPr>
        <w:spacing w:after="0" w:line="494" w:lineRule="auto"/>
        <w:sectPr>
          <w:pgSz w:w="12450" w:h="15730"/>
          <w:pgMar w:header="1021" w:footer="0" w:top="1600" w:bottom="280" w:left="1760" w:right="1760"/>
        </w:sectPr>
      </w:pPr>
    </w:p>
    <w:p>
      <w:pPr>
        <w:pStyle w:val="BodyText"/>
        <w:spacing w:line="496" w:lineRule="auto" w:before="81"/>
        <w:ind w:left="480" w:right="267" w:hanging="10"/>
      </w:pPr>
      <w:r>
        <w:rPr>
          <w:w w:val="105"/>
        </w:rPr>
        <w:t>29-63 the</w:t>
      </w:r>
      <w:r>
        <w:rPr>
          <w:spacing w:val="-2"/>
          <w:w w:val="105"/>
        </w:rPr>
        <w:t> </w:t>
      </w:r>
      <w:r>
        <w:rPr>
          <w:w w:val="105"/>
        </w:rPr>
        <w:t>severe range of</w:t>
      </w:r>
      <w:r>
        <w:rPr>
          <w:spacing w:val="-7"/>
          <w:w w:val="105"/>
        </w:rPr>
        <w:t> </w:t>
      </w:r>
      <w:r>
        <w:rPr>
          <w:w w:val="105"/>
        </w:rPr>
        <w:t>depression (Beck et</w:t>
      </w:r>
      <w:r>
        <w:rPr>
          <w:spacing w:val="-3"/>
          <w:w w:val="105"/>
        </w:rPr>
        <w:t> </w:t>
      </w:r>
      <w:r>
        <w:rPr>
          <w:w w:val="105"/>
        </w:rPr>
        <w:t>al., 1996; Zettel-Watson, Rakovski, Levine,</w:t>
      </w:r>
      <w:r>
        <w:rPr>
          <w:spacing w:val="40"/>
          <w:w w:val="105"/>
        </w:rPr>
        <w:t> </w:t>
      </w:r>
      <w:r>
        <w:rPr>
          <w:w w:val="105"/>
        </w:rPr>
        <w:t>Rutledge, &amp; Jones, 20</w:t>
      </w:r>
      <w:r>
        <w:rPr>
          <w:spacing w:val="-22"/>
          <w:w w:val="105"/>
        </w:rPr>
        <w:t> </w:t>
      </w:r>
      <w:r>
        <w:rPr>
          <w:w w:val="105"/>
        </w:rPr>
        <w:t>I</w:t>
      </w:r>
      <w:r>
        <w:rPr>
          <w:spacing w:val="-18"/>
          <w:w w:val="105"/>
        </w:rPr>
        <w:t> </w:t>
      </w:r>
      <w:r>
        <w:rPr>
          <w:w w:val="105"/>
        </w:rPr>
        <w:t>0).</w:t>
      </w:r>
    </w:p>
    <w:p>
      <w:pPr>
        <w:pStyle w:val="BodyText"/>
        <w:spacing w:before="5"/>
        <w:ind w:left="393" w:right="50"/>
        <w:jc w:val="center"/>
      </w:pPr>
      <w:r>
        <w:rPr>
          <w:spacing w:val="-2"/>
          <w:w w:val="105"/>
          <w:u w:val="thick"/>
        </w:rPr>
        <w:t>Procedure</w:t>
      </w:r>
    </w:p>
    <w:p>
      <w:pPr>
        <w:pStyle w:val="BodyText"/>
        <w:spacing w:before="17"/>
      </w:pPr>
    </w:p>
    <w:p>
      <w:pPr>
        <w:pStyle w:val="BodyText"/>
        <w:spacing w:before="1"/>
        <w:ind w:left="486"/>
      </w:pPr>
      <w:r>
        <w:rPr>
          <w:u w:val="thick"/>
        </w:rPr>
        <w:t>Wave</w:t>
      </w:r>
      <w:r>
        <w:rPr>
          <w:spacing w:val="28"/>
          <w:u w:val="thick"/>
        </w:rPr>
        <w:t> </w:t>
      </w:r>
      <w:r>
        <w:rPr>
          <w:u w:val="thick"/>
        </w:rPr>
        <w:t>I</w:t>
      </w:r>
      <w:r>
        <w:rPr>
          <w:spacing w:val="39"/>
          <w:u w:val="thick"/>
        </w:rPr>
        <w:t> </w:t>
      </w:r>
      <w:r>
        <w:rPr>
          <w:spacing w:val="-2"/>
          <w:u w:val="thick"/>
        </w:rPr>
        <w:t>Procedure</w:t>
      </w:r>
    </w:p>
    <w:p>
      <w:pPr>
        <w:pStyle w:val="BodyText"/>
        <w:spacing w:before="17"/>
      </w:pPr>
    </w:p>
    <w:p>
      <w:pPr>
        <w:pStyle w:val="BodyText"/>
        <w:spacing w:line="494" w:lineRule="auto"/>
        <w:ind w:left="472" w:right="123" w:firstLine="701"/>
      </w:pPr>
      <w:r>
        <w:rPr>
          <w:w w:val="105"/>
        </w:rPr>
        <w:t>For Wave 1,</w:t>
      </w:r>
      <w:r>
        <w:rPr>
          <w:spacing w:val="-5"/>
          <w:w w:val="105"/>
        </w:rPr>
        <w:t> </w:t>
      </w:r>
      <w:r>
        <w:rPr>
          <w:w w:val="105"/>
        </w:rPr>
        <w:t>potential</w:t>
      </w:r>
      <w:r>
        <w:rPr>
          <w:spacing w:val="18"/>
          <w:w w:val="105"/>
        </w:rPr>
        <w:t> </w:t>
      </w:r>
      <w:r>
        <w:rPr>
          <w:w w:val="105"/>
        </w:rPr>
        <w:t>participants were</w:t>
      </w:r>
      <w:r>
        <w:rPr>
          <w:spacing w:val="-8"/>
          <w:w w:val="105"/>
        </w:rPr>
        <w:t> </w:t>
      </w:r>
      <w:r>
        <w:rPr>
          <w:w w:val="105"/>
        </w:rPr>
        <w:t>screened through telephone interviews for inclusion and exclusion criteria. Individuals eligible for the</w:t>
      </w:r>
      <w:r>
        <w:rPr>
          <w:spacing w:val="-4"/>
          <w:w w:val="105"/>
        </w:rPr>
        <w:t> </w:t>
      </w:r>
      <w:r>
        <w:rPr>
          <w:w w:val="105"/>
        </w:rPr>
        <w:t>study were</w:t>
      </w:r>
      <w:r>
        <w:rPr>
          <w:spacing w:val="-1"/>
          <w:w w:val="105"/>
        </w:rPr>
        <w:t> </w:t>
      </w:r>
      <w:r>
        <w:rPr>
          <w:w w:val="105"/>
        </w:rPr>
        <w:t>scheduled</w:t>
      </w:r>
      <w:r>
        <w:rPr>
          <w:spacing w:val="30"/>
          <w:w w:val="105"/>
        </w:rPr>
        <w:t> </w:t>
      </w:r>
      <w:r>
        <w:rPr>
          <w:w w:val="105"/>
        </w:rPr>
        <w:t>for</w:t>
      </w:r>
      <w:r>
        <w:rPr>
          <w:spacing w:val="-4"/>
          <w:w w:val="105"/>
        </w:rPr>
        <w:t> </w:t>
      </w:r>
      <w:r>
        <w:rPr>
          <w:w w:val="105"/>
        </w:rPr>
        <w:t>two separate appointments, due to</w:t>
      </w:r>
      <w:r>
        <w:rPr>
          <w:spacing w:val="-3"/>
          <w:w w:val="105"/>
        </w:rPr>
        <w:t> </w:t>
      </w:r>
      <w:r>
        <w:rPr>
          <w:w w:val="105"/>
        </w:rPr>
        <w:t>the large number of assessments, which could</w:t>
      </w:r>
      <w:r>
        <w:rPr>
          <w:w w:val="105"/>
        </w:rPr>
        <w:t> lead to potential</w:t>
      </w:r>
      <w:r>
        <w:rPr>
          <w:spacing w:val="39"/>
          <w:w w:val="105"/>
        </w:rPr>
        <w:t> </w:t>
      </w:r>
      <w:r>
        <w:rPr>
          <w:w w:val="105"/>
        </w:rPr>
        <w:t>burden on the participants.</w:t>
      </w:r>
      <w:r>
        <w:rPr>
          <w:w w:val="105"/>
        </w:rPr>
        <w:t> Participants were mailed the questionnaires (including the leisure participation</w:t>
      </w:r>
      <w:r>
        <w:rPr>
          <w:spacing w:val="37"/>
          <w:w w:val="105"/>
        </w:rPr>
        <w:t> </w:t>
      </w:r>
      <w:r>
        <w:rPr>
          <w:w w:val="105"/>
        </w:rPr>
        <w:t>information) and study consent</w:t>
      </w:r>
      <w:r>
        <w:rPr>
          <w:spacing w:val="31"/>
          <w:w w:val="105"/>
        </w:rPr>
        <w:t> </w:t>
      </w:r>
      <w:r>
        <w:rPr>
          <w:w w:val="105"/>
        </w:rPr>
        <w:t>form, which</w:t>
      </w:r>
      <w:r>
        <w:rPr>
          <w:spacing w:val="32"/>
          <w:w w:val="105"/>
        </w:rPr>
        <w:t> </w:t>
      </w:r>
      <w:r>
        <w:rPr>
          <w:w w:val="105"/>
        </w:rPr>
        <w:t>were asked to be filled out</w:t>
      </w:r>
      <w:r>
        <w:rPr>
          <w:spacing w:val="-1"/>
          <w:w w:val="105"/>
        </w:rPr>
        <w:t> </w:t>
      </w:r>
      <w:r>
        <w:rPr>
          <w:w w:val="105"/>
        </w:rPr>
        <w:t>and</w:t>
      </w:r>
      <w:r>
        <w:rPr>
          <w:w w:val="105"/>
        </w:rPr>
        <w:t> brought on the first day of</w:t>
      </w:r>
      <w:r>
        <w:rPr>
          <w:spacing w:val="-8"/>
          <w:w w:val="105"/>
        </w:rPr>
        <w:t> </w:t>
      </w:r>
      <w:r>
        <w:rPr>
          <w:w w:val="105"/>
        </w:rPr>
        <w:t>assessment. They were given a reminder phone call one day prior to their first appointment.</w:t>
      </w:r>
    </w:p>
    <w:p>
      <w:pPr>
        <w:pStyle w:val="BodyText"/>
        <w:spacing w:line="494" w:lineRule="auto" w:before="5"/>
        <w:ind w:left="482" w:right="109" w:firstLine="422"/>
      </w:pPr>
      <w:r>
        <w:rPr>
          <w:w w:val="105"/>
        </w:rPr>
        <w:t>During the first assessment day, previously mailed questionnaires</w:t>
      </w:r>
      <w:r>
        <w:rPr>
          <w:spacing w:val="-13"/>
          <w:w w:val="105"/>
        </w:rPr>
        <w:t> </w:t>
      </w:r>
      <w:r>
        <w:rPr>
          <w:w w:val="105"/>
        </w:rPr>
        <w:t>and consent forms were</w:t>
      </w:r>
      <w:r>
        <w:rPr>
          <w:spacing w:val="-4"/>
          <w:w w:val="105"/>
        </w:rPr>
        <w:t> </w:t>
      </w:r>
      <w:r>
        <w:rPr>
          <w:w w:val="105"/>
        </w:rPr>
        <w:t>collected</w:t>
      </w:r>
      <w:r>
        <w:rPr>
          <w:w w:val="105"/>
        </w:rPr>
        <w:t> and reviewed</w:t>
      </w:r>
      <w:r>
        <w:rPr>
          <w:w w:val="105"/>
        </w:rPr>
        <w:t> for</w:t>
      </w:r>
      <w:r>
        <w:rPr>
          <w:spacing w:val="-6"/>
          <w:w w:val="105"/>
        </w:rPr>
        <w:t> </w:t>
      </w:r>
      <w:r>
        <w:rPr>
          <w:w w:val="105"/>
        </w:rPr>
        <w:t>completeness.</w:t>
      </w:r>
      <w:r>
        <w:rPr>
          <w:spacing w:val="20"/>
          <w:w w:val="105"/>
        </w:rPr>
        <w:t> </w:t>
      </w:r>
      <w:r>
        <w:rPr>
          <w:w w:val="105"/>
        </w:rPr>
        <w:t>Investigators were</w:t>
      </w:r>
      <w:r>
        <w:rPr>
          <w:spacing w:val="-11"/>
          <w:w w:val="105"/>
        </w:rPr>
        <w:t> </w:t>
      </w:r>
      <w:r>
        <w:rPr>
          <w:w w:val="105"/>
        </w:rPr>
        <w:t>available</w:t>
      </w:r>
      <w:r>
        <w:rPr>
          <w:spacing w:val="-1"/>
          <w:w w:val="105"/>
        </w:rPr>
        <w:t> </w:t>
      </w:r>
      <w:r>
        <w:rPr>
          <w:w w:val="105"/>
        </w:rPr>
        <w:t>to</w:t>
      </w:r>
      <w:r>
        <w:rPr>
          <w:spacing w:val="-11"/>
          <w:w w:val="105"/>
        </w:rPr>
        <w:t> </w:t>
      </w:r>
      <w:r>
        <w:rPr>
          <w:w w:val="105"/>
        </w:rPr>
        <w:t>answer</w:t>
      </w:r>
      <w:r>
        <w:rPr>
          <w:spacing w:val="-2"/>
          <w:w w:val="105"/>
        </w:rPr>
        <w:t> </w:t>
      </w:r>
      <w:r>
        <w:rPr>
          <w:w w:val="105"/>
        </w:rPr>
        <w:t>any questions, including those about the</w:t>
      </w:r>
      <w:r>
        <w:rPr>
          <w:spacing w:val="-3"/>
          <w:w w:val="105"/>
        </w:rPr>
        <w:t> </w:t>
      </w:r>
      <w:r>
        <w:rPr>
          <w:w w:val="105"/>
        </w:rPr>
        <w:t>consent forms,</w:t>
      </w:r>
      <w:r>
        <w:rPr>
          <w:spacing w:val="-3"/>
          <w:w w:val="105"/>
        </w:rPr>
        <w:t> </w:t>
      </w:r>
      <w:r>
        <w:rPr>
          <w:w w:val="105"/>
        </w:rPr>
        <w:t>schedule appointments for</w:t>
      </w:r>
      <w:r>
        <w:rPr>
          <w:spacing w:val="-6"/>
          <w:w w:val="105"/>
        </w:rPr>
        <w:t> </w:t>
      </w:r>
      <w:r>
        <w:rPr>
          <w:w w:val="105"/>
        </w:rPr>
        <w:t>the second assessment day using reminder cards to take home, and thank participants.</w:t>
      </w:r>
      <w:r>
        <w:rPr>
          <w:w w:val="105"/>
        </w:rPr>
        <w:t> Participants also filled out some additional</w:t>
      </w:r>
      <w:r>
        <w:rPr>
          <w:w w:val="105"/>
        </w:rPr>
        <w:t> forms related</w:t>
      </w:r>
      <w:r>
        <w:rPr>
          <w:w w:val="105"/>
        </w:rPr>
        <w:t> to the study. During the second assessment day, which took</w:t>
      </w:r>
      <w:r>
        <w:rPr>
          <w:w w:val="105"/>
        </w:rPr>
        <w:t> place within one</w:t>
      </w:r>
      <w:r>
        <w:rPr>
          <w:spacing w:val="-2"/>
          <w:w w:val="105"/>
        </w:rPr>
        <w:t> </w:t>
      </w:r>
      <w:r>
        <w:rPr>
          <w:w w:val="105"/>
        </w:rPr>
        <w:t>week from the first appointment,</w:t>
      </w:r>
      <w:r>
        <w:rPr>
          <w:spacing w:val="31"/>
          <w:w w:val="105"/>
        </w:rPr>
        <w:t> </w:t>
      </w:r>
      <w:r>
        <w:rPr>
          <w:w w:val="105"/>
        </w:rPr>
        <w:t>participants filled out the BDI-11. Participants also</w:t>
      </w:r>
      <w:r>
        <w:rPr>
          <w:spacing w:val="-4"/>
          <w:w w:val="105"/>
        </w:rPr>
        <w:t> </w:t>
      </w:r>
      <w:r>
        <w:rPr>
          <w:w w:val="105"/>
        </w:rPr>
        <w:t>completed</w:t>
      </w:r>
      <w:r>
        <w:rPr>
          <w:w w:val="105"/>
        </w:rPr>
        <w:t> a battery</w:t>
      </w:r>
      <w:r>
        <w:rPr>
          <w:spacing w:val="-3"/>
          <w:w w:val="105"/>
        </w:rPr>
        <w:t> </w:t>
      </w:r>
      <w:r>
        <w:rPr>
          <w:w w:val="105"/>
        </w:rPr>
        <w:t>of physical</w:t>
      </w:r>
      <w:r>
        <w:rPr>
          <w:w w:val="105"/>
        </w:rPr>
        <w:t> performance and cognitive tests, the results of which</w:t>
      </w:r>
      <w:r>
        <w:rPr>
          <w:spacing w:val="27"/>
          <w:w w:val="105"/>
        </w:rPr>
        <w:t> </w:t>
      </w:r>
      <w:r>
        <w:rPr>
          <w:w w:val="105"/>
        </w:rPr>
        <w:t>are reported</w:t>
      </w:r>
      <w:r>
        <w:rPr>
          <w:spacing w:val="29"/>
          <w:w w:val="105"/>
        </w:rPr>
        <w:t> </w:t>
      </w:r>
      <w:r>
        <w:rPr>
          <w:w w:val="105"/>
        </w:rPr>
        <w:t>elsewhere (Cherry et</w:t>
      </w:r>
      <w:r>
        <w:rPr>
          <w:spacing w:val="-1"/>
          <w:w w:val="105"/>
        </w:rPr>
        <w:t> </w:t>
      </w:r>
      <w:r>
        <w:rPr>
          <w:w w:val="105"/>
        </w:rPr>
        <w:t>al., 2012; Jones et al., 2010).</w:t>
      </w:r>
    </w:p>
    <w:p>
      <w:pPr>
        <w:pStyle w:val="BodyText"/>
        <w:spacing w:before="12"/>
        <w:ind w:left="501"/>
      </w:pPr>
      <w:r>
        <w:rPr>
          <w:w w:val="105"/>
          <w:u w:val="thick"/>
        </w:rPr>
        <w:t>Wave</w:t>
      </w:r>
      <w:r>
        <w:rPr>
          <w:spacing w:val="-5"/>
          <w:w w:val="105"/>
          <w:u w:val="thick"/>
        </w:rPr>
        <w:t> </w:t>
      </w:r>
      <w:r>
        <w:rPr>
          <w:w w:val="105"/>
          <w:u w:val="thick"/>
        </w:rPr>
        <w:t>2</w:t>
      </w:r>
      <w:r>
        <w:rPr>
          <w:spacing w:val="-5"/>
          <w:w w:val="105"/>
          <w:u w:val="thick"/>
        </w:rPr>
        <w:t> </w:t>
      </w:r>
      <w:r>
        <w:rPr>
          <w:spacing w:val="-2"/>
          <w:w w:val="105"/>
          <w:u w:val="thick"/>
        </w:rPr>
        <w:t>Procedure</w:t>
      </w:r>
    </w:p>
    <w:p>
      <w:pPr>
        <w:pStyle w:val="BodyText"/>
        <w:spacing w:before="13"/>
      </w:pPr>
    </w:p>
    <w:p>
      <w:pPr>
        <w:pStyle w:val="BodyText"/>
        <w:spacing w:line="494" w:lineRule="auto"/>
        <w:ind w:left="482" w:right="267" w:firstLine="705"/>
      </w:pPr>
      <w:r>
        <w:rPr>
          <w:w w:val="105"/>
        </w:rPr>
        <w:t>Prior to Wave 2, prospective</w:t>
      </w:r>
      <w:r>
        <w:rPr>
          <w:w w:val="105"/>
        </w:rPr>
        <w:t> participants were contacted</w:t>
      </w:r>
      <w:r>
        <w:rPr>
          <w:spacing w:val="40"/>
          <w:w w:val="105"/>
        </w:rPr>
        <w:t> </w:t>
      </w:r>
      <w:r>
        <w:rPr>
          <w:w w:val="105"/>
        </w:rPr>
        <w:t>via telephone to determine their</w:t>
      </w:r>
      <w:r>
        <w:rPr>
          <w:spacing w:val="-6"/>
          <w:w w:val="105"/>
        </w:rPr>
        <w:t> </w:t>
      </w:r>
      <w:r>
        <w:rPr>
          <w:w w:val="105"/>
        </w:rPr>
        <w:t>eligibility for</w:t>
      </w:r>
      <w:r>
        <w:rPr>
          <w:spacing w:val="-7"/>
          <w:w w:val="105"/>
        </w:rPr>
        <w:t> </w:t>
      </w:r>
      <w:r>
        <w:rPr>
          <w:w w:val="105"/>
        </w:rPr>
        <w:t>the</w:t>
      </w:r>
      <w:r>
        <w:rPr>
          <w:spacing w:val="-7"/>
          <w:w w:val="105"/>
        </w:rPr>
        <w:t> </w:t>
      </w:r>
      <w:r>
        <w:rPr>
          <w:w w:val="105"/>
        </w:rPr>
        <w:t>study based on the inclusion and</w:t>
      </w:r>
      <w:r>
        <w:rPr>
          <w:spacing w:val="-4"/>
          <w:w w:val="105"/>
        </w:rPr>
        <w:t> </w:t>
      </w:r>
      <w:r>
        <w:rPr>
          <w:w w:val="105"/>
        </w:rPr>
        <w:t>exclusion</w:t>
      </w:r>
      <w:r>
        <w:rPr>
          <w:w w:val="105"/>
        </w:rPr>
        <w:t> criteria mentioned above. If eligible, individuals were scheduled for a single 2-½ hour</w:t>
      </w:r>
    </w:p>
    <w:p>
      <w:pPr>
        <w:spacing w:after="0" w:line="494" w:lineRule="auto"/>
        <w:sectPr>
          <w:headerReference w:type="default" r:id="rId28"/>
          <w:pgSz w:w="12480" w:h="15790"/>
          <w:pgMar w:header="1034" w:footer="0" w:top="1600" w:bottom="280" w:left="1760" w:right="1740"/>
        </w:sectPr>
      </w:pPr>
    </w:p>
    <w:p>
      <w:pPr>
        <w:pStyle w:val="BodyText"/>
        <w:spacing w:line="496" w:lineRule="auto" w:before="81"/>
        <w:ind w:left="474" w:hanging="7"/>
      </w:pPr>
      <w:r>
        <w:rPr>
          <w:w w:val="105"/>
        </w:rPr>
        <w:t>appointment and mailed the informed consent form and study</w:t>
      </w:r>
      <w:r>
        <w:rPr>
          <w:spacing w:val="-2"/>
          <w:w w:val="105"/>
        </w:rPr>
        <w:t> </w:t>
      </w:r>
      <w:r>
        <w:rPr>
          <w:w w:val="105"/>
        </w:rPr>
        <w:t>questionnaires.</w:t>
      </w:r>
      <w:r>
        <w:rPr>
          <w:spacing w:val="-11"/>
          <w:w w:val="105"/>
        </w:rPr>
        <w:t> </w:t>
      </w:r>
      <w:r>
        <w:rPr>
          <w:w w:val="105"/>
        </w:rPr>
        <w:t>Participants were instructed</w:t>
      </w:r>
      <w:r>
        <w:rPr>
          <w:w w:val="105"/>
        </w:rPr>
        <w:t> to</w:t>
      </w:r>
      <w:r>
        <w:rPr>
          <w:spacing w:val="-2"/>
          <w:w w:val="105"/>
        </w:rPr>
        <w:t> </w:t>
      </w:r>
      <w:r>
        <w:rPr>
          <w:w w:val="105"/>
        </w:rPr>
        <w:t>sign the informed consent form</w:t>
      </w:r>
      <w:r>
        <w:rPr>
          <w:spacing w:val="33"/>
          <w:w w:val="105"/>
        </w:rPr>
        <w:t> </w:t>
      </w:r>
      <w:r>
        <w:rPr>
          <w:w w:val="105"/>
        </w:rPr>
        <w:t>prior to filling out other study related materials and bring the complete paperwork on the day of the assessment. A reminder phone call was given to</w:t>
      </w:r>
      <w:r>
        <w:rPr>
          <w:spacing w:val="-2"/>
          <w:w w:val="105"/>
        </w:rPr>
        <w:t> </w:t>
      </w:r>
      <w:r>
        <w:rPr>
          <w:w w:val="105"/>
        </w:rPr>
        <w:t>them one day prior to the assessment appointment.</w:t>
      </w:r>
    </w:p>
    <w:p>
      <w:pPr>
        <w:pStyle w:val="BodyText"/>
        <w:spacing w:line="494" w:lineRule="auto"/>
        <w:ind w:left="472" w:right="179" w:firstLine="691"/>
      </w:pPr>
      <w:r>
        <w:rPr>
          <w:w w:val="105"/>
        </w:rPr>
        <w:t>On the day of the assessment, the completed consent form and questionnaires were collected, the consent form</w:t>
      </w:r>
      <w:r>
        <w:rPr>
          <w:spacing w:val="35"/>
          <w:w w:val="105"/>
        </w:rPr>
        <w:t> </w:t>
      </w:r>
      <w:r>
        <w:rPr>
          <w:w w:val="105"/>
        </w:rPr>
        <w:t>was signed</w:t>
      </w:r>
      <w:r>
        <w:rPr>
          <w:spacing w:val="33"/>
          <w:w w:val="105"/>
        </w:rPr>
        <w:t> </w:t>
      </w:r>
      <w:r>
        <w:rPr>
          <w:w w:val="105"/>
        </w:rPr>
        <w:t>by one of the faculty investigators, and questions about the</w:t>
      </w:r>
      <w:r>
        <w:rPr>
          <w:spacing w:val="-2"/>
          <w:w w:val="105"/>
        </w:rPr>
        <w:t> </w:t>
      </w:r>
      <w:r>
        <w:rPr>
          <w:w w:val="105"/>
        </w:rPr>
        <w:t>study were answered. Participants had their</w:t>
      </w:r>
      <w:r>
        <w:rPr>
          <w:w w:val="105"/>
        </w:rPr>
        <w:t> blood</w:t>
      </w:r>
      <w:r>
        <w:rPr>
          <w:spacing w:val="40"/>
          <w:w w:val="105"/>
        </w:rPr>
        <w:t> </w:t>
      </w:r>
      <w:r>
        <w:rPr>
          <w:w w:val="105"/>
        </w:rPr>
        <w:t>pressure, height/weight,</w:t>
      </w:r>
      <w:r>
        <w:rPr>
          <w:spacing w:val="-15"/>
          <w:w w:val="105"/>
        </w:rPr>
        <w:t> </w:t>
      </w:r>
      <w:r>
        <w:rPr>
          <w:w w:val="105"/>
        </w:rPr>
        <w:t>and waist circumference measured.</w:t>
      </w:r>
      <w:r>
        <w:rPr>
          <w:spacing w:val="-1"/>
          <w:w w:val="105"/>
        </w:rPr>
        <w:t> </w:t>
      </w:r>
      <w:r>
        <w:rPr>
          <w:w w:val="105"/>
        </w:rPr>
        <w:t>They also</w:t>
      </w:r>
      <w:r>
        <w:rPr>
          <w:spacing w:val="-8"/>
          <w:w w:val="105"/>
        </w:rPr>
        <w:t> </w:t>
      </w:r>
      <w:r>
        <w:rPr>
          <w:w w:val="105"/>
        </w:rPr>
        <w:t>completed additional study related questionnaires</w:t>
      </w:r>
      <w:r>
        <w:rPr>
          <w:spacing w:val="-1"/>
          <w:w w:val="105"/>
        </w:rPr>
        <w:t> </w:t>
      </w:r>
      <w:r>
        <w:rPr>
          <w:w w:val="105"/>
        </w:rPr>
        <w:t>and a battery of</w:t>
      </w:r>
      <w:r>
        <w:rPr>
          <w:spacing w:val="-2"/>
          <w:w w:val="105"/>
        </w:rPr>
        <w:t> </w:t>
      </w:r>
      <w:r>
        <w:rPr>
          <w:w w:val="105"/>
        </w:rPr>
        <w:t>cognitive assessments and</w:t>
      </w:r>
      <w:r>
        <w:rPr>
          <w:w w:val="105"/>
        </w:rPr>
        <w:t> physical</w:t>
      </w:r>
      <w:r>
        <w:rPr>
          <w:spacing w:val="33"/>
          <w:w w:val="105"/>
        </w:rPr>
        <w:t> </w:t>
      </w:r>
      <w:r>
        <w:rPr>
          <w:w w:val="105"/>
        </w:rPr>
        <w:t>performance tests, the results of which are not relevant to the current study.</w:t>
      </w:r>
    </w:p>
    <w:p>
      <w:pPr>
        <w:spacing w:after="0" w:line="494" w:lineRule="auto"/>
        <w:sectPr>
          <w:headerReference w:type="default" r:id="rId29"/>
          <w:pgSz w:w="12450" w:h="15760"/>
          <w:pgMar w:header="1030" w:footer="0" w:top="1600" w:bottom="280" w:left="1760" w:right="1760"/>
        </w:sectPr>
      </w:pPr>
    </w:p>
    <w:p>
      <w:pPr>
        <w:pStyle w:val="BodyText"/>
      </w:pPr>
    </w:p>
    <w:p>
      <w:pPr>
        <w:pStyle w:val="BodyText"/>
      </w:pPr>
    </w:p>
    <w:p>
      <w:pPr>
        <w:pStyle w:val="BodyText"/>
      </w:pPr>
    </w:p>
    <w:p>
      <w:pPr>
        <w:pStyle w:val="BodyText"/>
        <w:spacing w:before="122"/>
      </w:pPr>
    </w:p>
    <w:p>
      <w:pPr>
        <w:pStyle w:val="BodyText"/>
        <w:spacing w:line="496" w:lineRule="auto" w:before="1"/>
        <w:ind w:left="3599" w:right="3187"/>
        <w:jc w:val="center"/>
      </w:pPr>
      <w:r>
        <w:rPr>
          <w:w w:val="105"/>
        </w:rPr>
        <w:t>CHAPTER</w:t>
      </w:r>
      <w:r>
        <w:rPr>
          <w:spacing w:val="1"/>
          <w:w w:val="105"/>
        </w:rPr>
        <w:t> </w:t>
      </w:r>
      <w:r>
        <w:rPr>
          <w:w w:val="105"/>
        </w:rPr>
        <w:t>3 </w:t>
      </w:r>
      <w:r>
        <w:rPr>
          <w:spacing w:val="-2"/>
          <w:w w:val="105"/>
        </w:rPr>
        <w:t>RESULTS</w:t>
      </w:r>
    </w:p>
    <w:p>
      <w:pPr>
        <w:pStyle w:val="BodyText"/>
        <w:spacing w:before="6"/>
      </w:pPr>
    </w:p>
    <w:p>
      <w:pPr>
        <w:pStyle w:val="BodyText"/>
        <w:spacing w:before="1"/>
        <w:ind w:left="3618" w:right="3187"/>
        <w:jc w:val="center"/>
      </w:pPr>
      <w:r>
        <w:rPr>
          <w:w w:val="105"/>
          <w:u w:val="thick"/>
        </w:rPr>
        <w:t>Sample</w:t>
      </w:r>
      <w:r>
        <w:rPr>
          <w:spacing w:val="-6"/>
          <w:w w:val="105"/>
          <w:u w:val="thick"/>
        </w:rPr>
        <w:t> </w:t>
      </w:r>
      <w:r>
        <w:rPr>
          <w:spacing w:val="-2"/>
          <w:w w:val="105"/>
          <w:u w:val="thick"/>
        </w:rPr>
        <w:t>Characteristics</w:t>
      </w:r>
    </w:p>
    <w:p>
      <w:pPr>
        <w:pStyle w:val="BodyText"/>
        <w:spacing w:before="17"/>
      </w:pPr>
    </w:p>
    <w:p>
      <w:pPr>
        <w:pStyle w:val="BodyText"/>
        <w:spacing w:line="496" w:lineRule="auto"/>
        <w:ind w:left="500" w:right="114" w:firstLine="689"/>
      </w:pPr>
      <w:r>
        <w:rPr>
          <w:w w:val="105"/>
        </w:rPr>
        <w:t>The majority of participants in</w:t>
      </w:r>
      <w:r>
        <w:rPr>
          <w:spacing w:val="-1"/>
          <w:w w:val="105"/>
        </w:rPr>
        <w:t> </w:t>
      </w:r>
      <w:r>
        <w:rPr>
          <w:w w:val="105"/>
        </w:rPr>
        <w:t>the</w:t>
      </w:r>
      <w:r>
        <w:rPr>
          <w:spacing w:val="-3"/>
          <w:w w:val="105"/>
        </w:rPr>
        <w:t> </w:t>
      </w:r>
      <w:r>
        <w:rPr>
          <w:w w:val="105"/>
        </w:rPr>
        <w:t>sample were</w:t>
      </w:r>
      <w:r>
        <w:rPr>
          <w:spacing w:val="-4"/>
          <w:w w:val="105"/>
        </w:rPr>
        <w:t> </w:t>
      </w:r>
      <w:r>
        <w:rPr>
          <w:w w:val="105"/>
        </w:rPr>
        <w:t>female</w:t>
      </w:r>
      <w:r>
        <w:rPr>
          <w:spacing w:val="-1"/>
          <w:w w:val="105"/>
        </w:rPr>
        <w:t> </w:t>
      </w:r>
      <w:r>
        <w:rPr>
          <w:w w:val="105"/>
        </w:rPr>
        <w:t>(80%), White/Caucasian (87%), and well educated (65% of the participants had college or graduate degrees).</w:t>
      </w:r>
    </w:p>
    <w:p>
      <w:pPr>
        <w:pStyle w:val="BodyText"/>
        <w:spacing w:line="494" w:lineRule="auto" w:before="1"/>
        <w:ind w:left="507" w:right="114" w:hanging="5"/>
      </w:pPr>
      <w:r>
        <w:rPr>
          <w:w w:val="105"/>
        </w:rPr>
        <w:t>Their ages ranged from 50 to</w:t>
      </w:r>
      <w:r>
        <w:rPr>
          <w:spacing w:val="-1"/>
          <w:w w:val="105"/>
        </w:rPr>
        <w:t> </w:t>
      </w:r>
      <w:r>
        <w:rPr>
          <w:w w:val="105"/>
        </w:rPr>
        <w:t>87 with a mean of</w:t>
      </w:r>
      <w:r>
        <w:rPr>
          <w:spacing w:val="-3"/>
          <w:w w:val="105"/>
        </w:rPr>
        <w:t> </w:t>
      </w:r>
      <w:r>
        <w:rPr>
          <w:w w:val="105"/>
        </w:rPr>
        <w:t>64 years. Over half</w:t>
      </w:r>
      <w:r>
        <w:rPr>
          <w:spacing w:val="-5"/>
          <w:w w:val="105"/>
        </w:rPr>
        <w:t> </w:t>
      </w:r>
      <w:r>
        <w:rPr>
          <w:w w:val="105"/>
        </w:rPr>
        <w:t>of the participants indicated</w:t>
      </w:r>
      <w:r>
        <w:rPr>
          <w:spacing w:val="25"/>
          <w:w w:val="105"/>
        </w:rPr>
        <w:t> </w:t>
      </w:r>
      <w:r>
        <w:rPr>
          <w:w w:val="105"/>
        </w:rPr>
        <w:t>spending zero weeks at work</w:t>
      </w:r>
      <w:r>
        <w:rPr>
          <w:spacing w:val="26"/>
          <w:w w:val="105"/>
        </w:rPr>
        <w:t> </w:t>
      </w:r>
      <w:r>
        <w:rPr>
          <w:w w:val="105"/>
        </w:rPr>
        <w:t>in the last 12 months (58%) with 45% being retired and 16%</w:t>
      </w:r>
      <w:r>
        <w:rPr>
          <w:spacing w:val="-7"/>
          <w:w w:val="105"/>
        </w:rPr>
        <w:t> </w:t>
      </w:r>
      <w:r>
        <w:rPr>
          <w:w w:val="105"/>
        </w:rPr>
        <w:t>- permanently disabled. A vast majority of</w:t>
      </w:r>
      <w:r>
        <w:rPr>
          <w:spacing w:val="-2"/>
          <w:w w:val="105"/>
        </w:rPr>
        <w:t> </w:t>
      </w:r>
      <w:r>
        <w:rPr>
          <w:w w:val="105"/>
        </w:rPr>
        <w:t>the participants reported</w:t>
      </w:r>
      <w:r>
        <w:rPr>
          <w:spacing w:val="32"/>
          <w:w w:val="105"/>
        </w:rPr>
        <w:t> </w:t>
      </w:r>
      <w:r>
        <w:rPr>
          <w:w w:val="105"/>
        </w:rPr>
        <w:t>not having responsibility</w:t>
      </w:r>
      <w:r>
        <w:rPr>
          <w:spacing w:val="-2"/>
          <w:w w:val="105"/>
        </w:rPr>
        <w:t> </w:t>
      </w:r>
      <w:r>
        <w:rPr>
          <w:w w:val="105"/>
        </w:rPr>
        <w:t>for</w:t>
      </w:r>
      <w:r>
        <w:rPr>
          <w:spacing w:val="-2"/>
          <w:w w:val="105"/>
        </w:rPr>
        <w:t> </w:t>
      </w:r>
      <w:r>
        <w:rPr>
          <w:w w:val="105"/>
        </w:rPr>
        <w:t>children/grandchildren (78%) or other adults (73%).</w:t>
      </w:r>
      <w:r>
        <w:rPr>
          <w:spacing w:val="-5"/>
          <w:w w:val="105"/>
        </w:rPr>
        <w:t> </w:t>
      </w:r>
      <w:r>
        <w:rPr>
          <w:w w:val="105"/>
        </w:rPr>
        <w:t>There were a number of</w:t>
      </w:r>
      <w:r>
        <w:rPr>
          <w:spacing w:val="-1"/>
          <w:w w:val="105"/>
        </w:rPr>
        <w:t> </w:t>
      </w:r>
      <w:r>
        <w:rPr>
          <w:w w:val="105"/>
        </w:rPr>
        <w:t>significant differences between the FM and non-FM groups, however. The participants in the FM group were younger </w:t>
      </w:r>
      <w:r>
        <w:rPr>
          <w:rFonts w:ascii="Arial" w:hAnsi="Arial"/>
          <w:w w:val="105"/>
          <w:sz w:val="21"/>
        </w:rPr>
        <w:t>(M</w:t>
      </w:r>
      <w:r>
        <w:rPr>
          <w:rFonts w:ascii="Arial" w:hAnsi="Arial"/>
          <w:w w:val="105"/>
          <w:sz w:val="21"/>
        </w:rPr>
        <w:t> </w:t>
      </w:r>
      <w:r>
        <w:rPr>
          <w:w w:val="105"/>
        </w:rPr>
        <w:t>= 59.40 years) than those in the non-FM group</w:t>
      </w:r>
      <w:r>
        <w:rPr>
          <w:spacing w:val="-4"/>
          <w:w w:val="105"/>
        </w:rPr>
        <w:t> </w:t>
      </w:r>
      <w:r>
        <w:rPr>
          <w:rFonts w:ascii="Arial" w:hAnsi="Arial"/>
          <w:i/>
          <w:w w:val="105"/>
          <w:sz w:val="21"/>
        </w:rPr>
        <w:t>(M=</w:t>
      </w:r>
      <w:r>
        <w:rPr>
          <w:rFonts w:ascii="Arial" w:hAnsi="Arial"/>
          <w:i/>
          <w:spacing w:val="40"/>
          <w:w w:val="105"/>
          <w:sz w:val="21"/>
        </w:rPr>
        <w:t> </w:t>
      </w:r>
      <w:r>
        <w:rPr>
          <w:w w:val="105"/>
        </w:rPr>
        <w:t>68.00 years).</w:t>
      </w:r>
      <w:r>
        <w:rPr>
          <w:spacing w:val="-3"/>
          <w:w w:val="105"/>
        </w:rPr>
        <w:t> </w:t>
      </w:r>
      <w:r>
        <w:rPr>
          <w:w w:val="105"/>
        </w:rPr>
        <w:t>There were significantly more women</w:t>
      </w:r>
      <w:r>
        <w:rPr>
          <w:spacing w:val="28"/>
          <w:w w:val="105"/>
        </w:rPr>
        <w:t> </w:t>
      </w:r>
      <w:r>
        <w:rPr>
          <w:w w:val="105"/>
        </w:rPr>
        <w:t>in the FM group than in the non-FM group.</w:t>
      </w:r>
      <w:r>
        <w:rPr>
          <w:spacing w:val="-1"/>
          <w:w w:val="105"/>
        </w:rPr>
        <w:t> </w:t>
      </w:r>
      <w:r>
        <w:rPr>
          <w:w w:val="105"/>
        </w:rPr>
        <w:t>People</w:t>
      </w:r>
      <w:r>
        <w:rPr>
          <w:spacing w:val="-7"/>
          <w:w w:val="105"/>
        </w:rPr>
        <w:t> </w:t>
      </w:r>
      <w:r>
        <w:rPr>
          <w:w w:val="105"/>
        </w:rPr>
        <w:t>diagnosed</w:t>
      </w:r>
      <w:r>
        <w:rPr>
          <w:w w:val="105"/>
        </w:rPr>
        <w:t> with FM</w:t>
      </w:r>
      <w:r>
        <w:rPr>
          <w:spacing w:val="-6"/>
          <w:w w:val="105"/>
        </w:rPr>
        <w:t> </w:t>
      </w:r>
      <w:r>
        <w:rPr>
          <w:w w:val="105"/>
        </w:rPr>
        <w:t>also</w:t>
      </w:r>
      <w:r>
        <w:rPr>
          <w:spacing w:val="-9"/>
          <w:w w:val="105"/>
        </w:rPr>
        <w:t> </w:t>
      </w:r>
      <w:r>
        <w:rPr>
          <w:w w:val="105"/>
        </w:rPr>
        <w:t>scored higher</w:t>
      </w:r>
      <w:r>
        <w:rPr>
          <w:spacing w:val="-7"/>
          <w:w w:val="105"/>
        </w:rPr>
        <w:t> </w:t>
      </w:r>
      <w:r>
        <w:rPr>
          <w:w w:val="105"/>
        </w:rPr>
        <w:t>on</w:t>
      </w:r>
      <w:r>
        <w:rPr>
          <w:spacing w:val="-4"/>
          <w:w w:val="105"/>
        </w:rPr>
        <w:t> </w:t>
      </w:r>
      <w:r>
        <w:rPr>
          <w:w w:val="105"/>
        </w:rPr>
        <w:t>the</w:t>
      </w:r>
      <w:r>
        <w:rPr>
          <w:spacing w:val="-2"/>
          <w:w w:val="105"/>
        </w:rPr>
        <w:t> </w:t>
      </w:r>
      <w:r>
        <w:rPr>
          <w:w w:val="105"/>
        </w:rPr>
        <w:t>Beck Depression Inventory scale </w:t>
      </w:r>
      <w:r>
        <w:rPr>
          <w:rFonts w:ascii="Arial" w:hAnsi="Arial"/>
          <w:w w:val="105"/>
          <w:sz w:val="21"/>
        </w:rPr>
        <w:t>(M </w:t>
      </w:r>
      <w:r>
        <w:rPr>
          <w:w w:val="105"/>
        </w:rPr>
        <w:t>= 17.10) than did people without FM </w:t>
      </w:r>
      <w:r>
        <w:rPr>
          <w:rFonts w:ascii="Arial" w:hAnsi="Arial"/>
          <w:w w:val="105"/>
          <w:sz w:val="21"/>
        </w:rPr>
        <w:t>(M </w:t>
      </w:r>
      <w:r>
        <w:rPr>
          <w:w w:val="105"/>
        </w:rPr>
        <w:t>= 4.30). As anticipated, participants in</w:t>
      </w:r>
      <w:r>
        <w:rPr>
          <w:spacing w:val="-1"/>
          <w:w w:val="105"/>
        </w:rPr>
        <w:t> </w:t>
      </w:r>
      <w:r>
        <w:rPr>
          <w:w w:val="105"/>
        </w:rPr>
        <w:t>the</w:t>
      </w:r>
      <w:r>
        <w:rPr>
          <w:spacing w:val="-1"/>
          <w:w w:val="105"/>
        </w:rPr>
        <w:t> </w:t>
      </w:r>
      <w:r>
        <w:rPr>
          <w:w w:val="105"/>
        </w:rPr>
        <w:t>FM</w:t>
      </w:r>
      <w:r>
        <w:rPr>
          <w:spacing w:val="-1"/>
          <w:w w:val="105"/>
        </w:rPr>
        <w:t> </w:t>
      </w:r>
      <w:r>
        <w:rPr>
          <w:w w:val="105"/>
        </w:rPr>
        <w:t>group</w:t>
      </w:r>
      <w:r>
        <w:rPr>
          <w:spacing w:val="-3"/>
          <w:w w:val="105"/>
        </w:rPr>
        <w:t> </w:t>
      </w:r>
      <w:r>
        <w:rPr>
          <w:w w:val="105"/>
        </w:rPr>
        <w:t>reported experiencing significantly</w:t>
      </w:r>
      <w:r>
        <w:rPr>
          <w:w w:val="105"/>
        </w:rPr>
        <w:t> more pain and fatigue in the past week, as well as more bodily pain</w:t>
      </w:r>
      <w:r>
        <w:rPr>
          <w:spacing w:val="23"/>
          <w:w w:val="105"/>
        </w:rPr>
        <w:t> </w:t>
      </w:r>
      <w:r>
        <w:rPr>
          <w:w w:val="105"/>
        </w:rPr>
        <w:t>in the past 4 weeks, as compared</w:t>
      </w:r>
      <w:r>
        <w:rPr>
          <w:spacing w:val="31"/>
          <w:w w:val="105"/>
        </w:rPr>
        <w:t> </w:t>
      </w:r>
      <w:r>
        <w:rPr>
          <w:w w:val="105"/>
        </w:rPr>
        <w:t>to</w:t>
      </w:r>
      <w:r>
        <w:rPr>
          <w:spacing w:val="-4"/>
          <w:w w:val="105"/>
        </w:rPr>
        <w:t> </w:t>
      </w:r>
      <w:r>
        <w:rPr>
          <w:w w:val="105"/>
        </w:rPr>
        <w:t>the non­ FM participants. The non-FM group was more involved</w:t>
      </w:r>
      <w:r>
        <w:rPr>
          <w:spacing w:val="35"/>
          <w:w w:val="105"/>
        </w:rPr>
        <w:t> </w:t>
      </w:r>
      <w:r>
        <w:rPr>
          <w:w w:val="105"/>
        </w:rPr>
        <w:t>in overall leisure and active leisure activities; however, there was no</w:t>
      </w:r>
      <w:r>
        <w:rPr>
          <w:spacing w:val="-3"/>
          <w:w w:val="105"/>
        </w:rPr>
        <w:t> </w:t>
      </w:r>
      <w:r>
        <w:rPr>
          <w:w w:val="105"/>
        </w:rPr>
        <w:t>significant difference</w:t>
      </w:r>
      <w:r>
        <w:rPr>
          <w:w w:val="105"/>
        </w:rPr>
        <w:t> in the passive leisure activities. Demographic characteristics</w:t>
      </w:r>
      <w:r>
        <w:rPr>
          <w:spacing w:val="-8"/>
          <w:w w:val="105"/>
        </w:rPr>
        <w:t> </w:t>
      </w:r>
      <w:r>
        <w:rPr>
          <w:w w:val="105"/>
        </w:rPr>
        <w:t>of the 2008 sample are listed in Table</w:t>
      </w:r>
      <w:r>
        <w:rPr>
          <w:spacing w:val="40"/>
          <w:w w:val="105"/>
        </w:rPr>
        <w:t> </w:t>
      </w:r>
      <w:r>
        <w:rPr>
          <w:w w:val="105"/>
        </w:rPr>
        <w:t>l.</w:t>
      </w:r>
    </w:p>
    <w:p>
      <w:pPr>
        <w:spacing w:after="0" w:line="494" w:lineRule="auto"/>
        <w:sectPr>
          <w:headerReference w:type="default" r:id="rId30"/>
          <w:pgSz w:w="12480" w:h="15790"/>
          <w:pgMar w:header="1039" w:footer="0" w:top="1880" w:bottom="280" w:left="1760" w:right="1760"/>
        </w:sectPr>
      </w:pPr>
    </w:p>
    <w:p>
      <w:pPr>
        <w:pStyle w:val="BodyText"/>
      </w:pPr>
    </w:p>
    <w:p>
      <w:pPr>
        <w:pStyle w:val="BodyText"/>
        <w:spacing w:before="94"/>
      </w:pPr>
    </w:p>
    <w:p>
      <w:pPr>
        <w:pStyle w:val="BodyText"/>
        <w:ind w:left="473"/>
      </w:pPr>
      <w:r>
        <w:rPr>
          <w:w w:val="105"/>
        </w:rPr>
        <w:t>Table</w:t>
      </w:r>
      <w:r>
        <w:rPr>
          <w:spacing w:val="4"/>
          <w:w w:val="105"/>
        </w:rPr>
        <w:t> </w:t>
      </w:r>
      <w:r>
        <w:rPr>
          <w:w w:val="105"/>
        </w:rPr>
        <w:t>1.</w:t>
      </w:r>
      <w:r>
        <w:rPr>
          <w:spacing w:val="-5"/>
          <w:w w:val="105"/>
        </w:rPr>
        <w:t> </w:t>
      </w:r>
      <w:r>
        <w:rPr>
          <w:w w:val="105"/>
        </w:rPr>
        <w:t>Individual</w:t>
      </w:r>
      <w:r>
        <w:rPr>
          <w:spacing w:val="17"/>
          <w:w w:val="105"/>
        </w:rPr>
        <w:t> </w:t>
      </w:r>
      <w:r>
        <w:rPr>
          <w:w w:val="105"/>
        </w:rPr>
        <w:t>Characteristics</w:t>
      </w:r>
      <w:r>
        <w:rPr>
          <w:spacing w:val="-9"/>
          <w:w w:val="105"/>
        </w:rPr>
        <w:t> </w:t>
      </w:r>
      <w:r>
        <w:rPr>
          <w:w w:val="105"/>
        </w:rPr>
        <w:t>of</w:t>
      </w:r>
      <w:r>
        <w:rPr>
          <w:spacing w:val="-7"/>
          <w:w w:val="105"/>
        </w:rPr>
        <w:t> </w:t>
      </w:r>
      <w:r>
        <w:rPr>
          <w:w w:val="105"/>
        </w:rPr>
        <w:t>the</w:t>
      </w:r>
      <w:r>
        <w:rPr>
          <w:spacing w:val="-3"/>
          <w:w w:val="105"/>
        </w:rPr>
        <w:t> </w:t>
      </w:r>
      <w:r>
        <w:rPr>
          <w:w w:val="105"/>
        </w:rPr>
        <w:t>2008</w:t>
      </w:r>
      <w:r>
        <w:rPr>
          <w:spacing w:val="1"/>
          <w:w w:val="105"/>
        </w:rPr>
        <w:t> </w:t>
      </w:r>
      <w:r>
        <w:rPr>
          <w:spacing w:val="-2"/>
          <w:w w:val="105"/>
        </w:rPr>
        <w:t>Sample</w:t>
      </w:r>
    </w:p>
    <w:p>
      <w:pPr>
        <w:pStyle w:val="BodyText"/>
        <w:rPr>
          <w:sz w:val="20"/>
        </w:rPr>
      </w:pPr>
    </w:p>
    <w:p>
      <w:pPr>
        <w:pStyle w:val="BodyText"/>
        <w:spacing w:before="30" w:after="1"/>
        <w:rPr>
          <w:sz w:val="20"/>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25"/>
        <w:gridCol w:w="1837"/>
        <w:gridCol w:w="1739"/>
        <w:gridCol w:w="888"/>
      </w:tblGrid>
      <w:tr>
        <w:trPr>
          <w:trHeight w:val="291" w:hRule="atLeast"/>
        </w:trPr>
        <w:tc>
          <w:tcPr>
            <w:tcW w:w="3925" w:type="dxa"/>
            <w:tcBorders>
              <w:top w:val="single" w:sz="4" w:space="0" w:color="000000"/>
            </w:tcBorders>
          </w:tcPr>
          <w:p>
            <w:pPr>
              <w:pStyle w:val="TableParagraph"/>
              <w:spacing w:line="236" w:lineRule="exact" w:before="34"/>
              <w:ind w:left="2"/>
              <w:rPr>
                <w:sz w:val="22"/>
              </w:rPr>
            </w:pPr>
            <w:r>
              <w:rPr>
                <w:spacing w:val="-2"/>
                <w:sz w:val="22"/>
              </w:rPr>
              <w:t>Variable</w:t>
            </w:r>
          </w:p>
        </w:tc>
        <w:tc>
          <w:tcPr>
            <w:tcW w:w="1837" w:type="dxa"/>
            <w:tcBorders>
              <w:top w:val="single" w:sz="4" w:space="0" w:color="000000"/>
            </w:tcBorders>
          </w:tcPr>
          <w:p>
            <w:pPr>
              <w:pStyle w:val="TableParagraph"/>
              <w:spacing w:line="236" w:lineRule="exact" w:before="34"/>
              <w:ind w:left="260"/>
              <w:rPr>
                <w:sz w:val="22"/>
              </w:rPr>
            </w:pPr>
            <w:r>
              <w:rPr>
                <w:sz w:val="22"/>
              </w:rPr>
              <w:t>Non-</w:t>
            </w:r>
            <w:r>
              <w:rPr>
                <w:spacing w:val="-5"/>
                <w:sz w:val="22"/>
              </w:rPr>
              <w:t>FM</w:t>
            </w:r>
          </w:p>
        </w:tc>
        <w:tc>
          <w:tcPr>
            <w:tcW w:w="1739" w:type="dxa"/>
            <w:tcBorders>
              <w:top w:val="single" w:sz="4" w:space="0" w:color="000000"/>
            </w:tcBorders>
          </w:tcPr>
          <w:p>
            <w:pPr>
              <w:pStyle w:val="TableParagraph"/>
              <w:spacing w:line="236" w:lineRule="exact" w:before="34"/>
              <w:ind w:left="541"/>
              <w:rPr>
                <w:sz w:val="22"/>
              </w:rPr>
            </w:pPr>
            <w:r>
              <w:rPr>
                <w:spacing w:val="-5"/>
                <w:sz w:val="22"/>
              </w:rPr>
              <w:t>FM</w:t>
            </w:r>
          </w:p>
        </w:tc>
        <w:tc>
          <w:tcPr>
            <w:tcW w:w="888" w:type="dxa"/>
            <w:tcBorders>
              <w:top w:val="single" w:sz="4" w:space="0" w:color="000000"/>
            </w:tcBorders>
          </w:tcPr>
          <w:p>
            <w:pPr>
              <w:pStyle w:val="TableParagraph"/>
              <w:spacing w:line="241" w:lineRule="exact" w:before="30"/>
              <w:ind w:left="172"/>
              <w:rPr>
                <w:sz w:val="22"/>
              </w:rPr>
            </w:pPr>
            <w:r>
              <w:rPr>
                <w:w w:val="105"/>
                <w:sz w:val="22"/>
              </w:rPr>
              <w:t>p-</w:t>
            </w:r>
            <w:r>
              <w:rPr>
                <w:spacing w:val="-4"/>
                <w:w w:val="110"/>
                <w:sz w:val="22"/>
              </w:rPr>
              <w:t>value</w:t>
            </w:r>
          </w:p>
        </w:tc>
      </w:tr>
      <w:tr>
        <w:trPr>
          <w:trHeight w:val="258" w:hRule="atLeast"/>
        </w:trPr>
        <w:tc>
          <w:tcPr>
            <w:tcW w:w="3925" w:type="dxa"/>
            <w:tcBorders>
              <w:bottom w:val="single" w:sz="18" w:space="0" w:color="000000"/>
            </w:tcBorders>
          </w:tcPr>
          <w:p>
            <w:pPr>
              <w:pStyle w:val="TableParagraph"/>
              <w:rPr>
                <w:sz w:val="18"/>
              </w:rPr>
            </w:pPr>
          </w:p>
        </w:tc>
        <w:tc>
          <w:tcPr>
            <w:tcW w:w="1837" w:type="dxa"/>
            <w:tcBorders>
              <w:bottom w:val="single" w:sz="18" w:space="0" w:color="000000"/>
            </w:tcBorders>
          </w:tcPr>
          <w:p>
            <w:pPr>
              <w:pStyle w:val="TableParagraph"/>
              <w:spacing w:line="238" w:lineRule="exact"/>
              <w:ind w:left="252"/>
              <w:rPr>
                <w:i/>
                <w:sz w:val="23"/>
              </w:rPr>
            </w:pPr>
            <w:r>
              <w:rPr>
                <w:i/>
                <w:spacing w:val="-4"/>
                <w:w w:val="120"/>
                <w:sz w:val="23"/>
              </w:rPr>
              <w:t>n=76</w:t>
            </w:r>
          </w:p>
        </w:tc>
        <w:tc>
          <w:tcPr>
            <w:tcW w:w="1739" w:type="dxa"/>
            <w:tcBorders>
              <w:bottom w:val="single" w:sz="18" w:space="0" w:color="000000"/>
            </w:tcBorders>
          </w:tcPr>
          <w:p>
            <w:pPr>
              <w:pStyle w:val="TableParagraph"/>
              <w:spacing w:line="238" w:lineRule="exact"/>
              <w:ind w:left="535"/>
              <w:rPr>
                <w:sz w:val="22"/>
              </w:rPr>
            </w:pPr>
            <w:r>
              <w:rPr>
                <w:i/>
                <w:w w:val="115"/>
                <w:sz w:val="23"/>
              </w:rPr>
              <w:t>n=</w:t>
            </w:r>
            <w:r>
              <w:rPr>
                <w:i/>
                <w:spacing w:val="-17"/>
                <w:w w:val="115"/>
                <w:sz w:val="23"/>
              </w:rPr>
              <w:t> </w:t>
            </w:r>
            <w:r>
              <w:rPr>
                <w:spacing w:val="-5"/>
                <w:w w:val="115"/>
                <w:sz w:val="22"/>
              </w:rPr>
              <w:t>70</w:t>
            </w:r>
          </w:p>
        </w:tc>
        <w:tc>
          <w:tcPr>
            <w:tcW w:w="888" w:type="dxa"/>
            <w:tcBorders>
              <w:bottom w:val="single" w:sz="18" w:space="0" w:color="000000"/>
            </w:tcBorders>
          </w:tcPr>
          <w:p>
            <w:pPr>
              <w:pStyle w:val="TableParagraph"/>
              <w:rPr>
                <w:sz w:val="18"/>
              </w:rPr>
            </w:pPr>
          </w:p>
        </w:tc>
      </w:tr>
      <w:tr>
        <w:trPr>
          <w:trHeight w:val="537" w:hRule="atLeast"/>
        </w:trPr>
        <w:tc>
          <w:tcPr>
            <w:tcW w:w="3925" w:type="dxa"/>
            <w:tcBorders>
              <w:top w:val="single" w:sz="18" w:space="0" w:color="000000"/>
            </w:tcBorders>
          </w:tcPr>
          <w:p>
            <w:pPr>
              <w:pStyle w:val="TableParagraph"/>
              <w:spacing w:before="18"/>
              <w:rPr>
                <w:sz w:val="22"/>
              </w:rPr>
            </w:pPr>
          </w:p>
          <w:p>
            <w:pPr>
              <w:pStyle w:val="TableParagraph"/>
              <w:spacing w:line="246" w:lineRule="exact" w:before="1"/>
              <w:ind w:left="15"/>
              <w:rPr>
                <w:i/>
                <w:sz w:val="22"/>
              </w:rPr>
            </w:pPr>
            <w:r>
              <w:rPr>
                <w:i/>
                <w:spacing w:val="-2"/>
                <w:w w:val="115"/>
                <w:sz w:val="22"/>
              </w:rPr>
              <w:t>Age,M(SD)</w:t>
            </w:r>
          </w:p>
        </w:tc>
        <w:tc>
          <w:tcPr>
            <w:tcW w:w="1837" w:type="dxa"/>
            <w:tcBorders>
              <w:top w:val="single" w:sz="18" w:space="0" w:color="000000"/>
            </w:tcBorders>
          </w:tcPr>
          <w:p>
            <w:pPr>
              <w:pStyle w:val="TableParagraph"/>
              <w:spacing w:before="23"/>
              <w:rPr>
                <w:sz w:val="22"/>
              </w:rPr>
            </w:pPr>
          </w:p>
          <w:p>
            <w:pPr>
              <w:pStyle w:val="TableParagraph"/>
              <w:spacing w:line="241" w:lineRule="exact"/>
              <w:ind w:left="252"/>
              <w:rPr>
                <w:sz w:val="22"/>
              </w:rPr>
            </w:pPr>
            <w:r>
              <w:rPr>
                <w:w w:val="105"/>
                <w:sz w:val="22"/>
              </w:rPr>
              <w:t>68.0</w:t>
            </w:r>
            <w:r>
              <w:rPr>
                <w:spacing w:val="12"/>
                <w:w w:val="105"/>
                <w:sz w:val="22"/>
              </w:rPr>
              <w:t> </w:t>
            </w:r>
            <w:r>
              <w:rPr>
                <w:spacing w:val="-2"/>
                <w:w w:val="105"/>
                <w:sz w:val="22"/>
              </w:rPr>
              <w:t>(8.7)</w:t>
            </w:r>
          </w:p>
        </w:tc>
        <w:tc>
          <w:tcPr>
            <w:tcW w:w="1739" w:type="dxa"/>
            <w:tcBorders>
              <w:top w:val="single" w:sz="18" w:space="0" w:color="000000"/>
            </w:tcBorders>
          </w:tcPr>
          <w:p>
            <w:pPr>
              <w:pStyle w:val="TableParagraph"/>
              <w:spacing w:before="18"/>
              <w:rPr>
                <w:sz w:val="22"/>
              </w:rPr>
            </w:pPr>
          </w:p>
          <w:p>
            <w:pPr>
              <w:pStyle w:val="TableParagraph"/>
              <w:spacing w:line="246" w:lineRule="exact" w:before="1"/>
              <w:ind w:left="534"/>
              <w:rPr>
                <w:sz w:val="22"/>
              </w:rPr>
            </w:pPr>
            <w:r>
              <w:rPr>
                <w:w w:val="105"/>
                <w:sz w:val="22"/>
              </w:rPr>
              <w:t>59.4 </w:t>
            </w:r>
            <w:r>
              <w:rPr>
                <w:spacing w:val="-4"/>
                <w:w w:val="105"/>
                <w:sz w:val="22"/>
              </w:rPr>
              <w:t>(7.5)</w:t>
            </w:r>
          </w:p>
        </w:tc>
        <w:tc>
          <w:tcPr>
            <w:tcW w:w="888" w:type="dxa"/>
            <w:tcBorders>
              <w:top w:val="single" w:sz="18" w:space="0" w:color="000000"/>
            </w:tcBorders>
          </w:tcPr>
          <w:p>
            <w:pPr>
              <w:pStyle w:val="TableParagraph"/>
              <w:spacing w:before="18"/>
              <w:rPr>
                <w:sz w:val="22"/>
              </w:rPr>
            </w:pPr>
          </w:p>
          <w:p>
            <w:pPr>
              <w:pStyle w:val="TableParagraph"/>
              <w:spacing w:line="246" w:lineRule="exact" w:before="1"/>
              <w:ind w:left="201"/>
              <w:rPr>
                <w:sz w:val="22"/>
              </w:rPr>
            </w:pPr>
            <w:r>
              <w:rPr>
                <w:spacing w:val="-4"/>
                <w:w w:val="115"/>
                <w:sz w:val="22"/>
              </w:rPr>
              <w:t>&lt;.001</w:t>
            </w:r>
          </w:p>
        </w:tc>
      </w:tr>
      <w:tr>
        <w:trPr>
          <w:trHeight w:val="259" w:hRule="atLeast"/>
        </w:trPr>
        <w:tc>
          <w:tcPr>
            <w:tcW w:w="3925" w:type="dxa"/>
          </w:tcPr>
          <w:p>
            <w:pPr>
              <w:pStyle w:val="TableParagraph"/>
              <w:spacing w:line="240" w:lineRule="exact"/>
              <w:ind w:left="234"/>
              <w:rPr>
                <w:sz w:val="22"/>
              </w:rPr>
            </w:pPr>
            <w:r>
              <w:rPr>
                <w:spacing w:val="-2"/>
                <w:sz w:val="22"/>
              </w:rPr>
              <w:t>range</w:t>
            </w:r>
          </w:p>
        </w:tc>
        <w:tc>
          <w:tcPr>
            <w:tcW w:w="1837" w:type="dxa"/>
          </w:tcPr>
          <w:p>
            <w:pPr>
              <w:pStyle w:val="TableParagraph"/>
              <w:spacing w:line="240" w:lineRule="exact"/>
              <w:ind w:left="261"/>
              <w:rPr>
                <w:sz w:val="22"/>
              </w:rPr>
            </w:pPr>
            <w:r>
              <w:rPr>
                <w:sz w:val="22"/>
              </w:rPr>
              <w:t>50-</w:t>
            </w:r>
            <w:r>
              <w:rPr>
                <w:spacing w:val="-5"/>
                <w:sz w:val="22"/>
              </w:rPr>
              <w:t>85</w:t>
            </w:r>
          </w:p>
        </w:tc>
        <w:tc>
          <w:tcPr>
            <w:tcW w:w="1739" w:type="dxa"/>
          </w:tcPr>
          <w:p>
            <w:pPr>
              <w:pStyle w:val="TableParagraph"/>
              <w:spacing w:line="240" w:lineRule="exact"/>
              <w:ind w:left="539"/>
              <w:rPr>
                <w:sz w:val="22"/>
              </w:rPr>
            </w:pPr>
            <w:r>
              <w:rPr>
                <w:sz w:val="22"/>
              </w:rPr>
              <w:t>50-</w:t>
            </w:r>
            <w:r>
              <w:rPr>
                <w:spacing w:val="-5"/>
                <w:sz w:val="22"/>
              </w:rPr>
              <w:t>87</w:t>
            </w:r>
          </w:p>
        </w:tc>
        <w:tc>
          <w:tcPr>
            <w:tcW w:w="888" w:type="dxa"/>
          </w:tcPr>
          <w:p>
            <w:pPr>
              <w:pStyle w:val="TableParagraph"/>
              <w:rPr>
                <w:sz w:val="18"/>
              </w:rPr>
            </w:pPr>
          </w:p>
        </w:tc>
      </w:tr>
      <w:tr>
        <w:trPr>
          <w:trHeight w:val="261" w:hRule="atLeast"/>
        </w:trPr>
        <w:tc>
          <w:tcPr>
            <w:tcW w:w="3925" w:type="dxa"/>
          </w:tcPr>
          <w:p>
            <w:pPr>
              <w:pStyle w:val="TableParagraph"/>
              <w:spacing w:line="238" w:lineRule="exact" w:before="3"/>
              <w:ind w:left="-3"/>
              <w:rPr>
                <w:sz w:val="22"/>
              </w:rPr>
            </w:pPr>
            <w:r>
              <w:rPr>
                <w:w w:val="105"/>
                <w:sz w:val="22"/>
              </w:rPr>
              <w:t>Gender,</w:t>
            </w:r>
            <w:r>
              <w:rPr>
                <w:spacing w:val="1"/>
                <w:w w:val="105"/>
                <w:sz w:val="22"/>
              </w:rPr>
              <w:t> </w:t>
            </w:r>
            <w:r>
              <w:rPr>
                <w:w w:val="105"/>
                <w:sz w:val="22"/>
              </w:rPr>
              <w:t>%</w:t>
            </w:r>
            <w:r>
              <w:rPr>
                <w:spacing w:val="7"/>
                <w:w w:val="105"/>
                <w:sz w:val="22"/>
              </w:rPr>
              <w:t> </w:t>
            </w:r>
            <w:r>
              <w:rPr>
                <w:spacing w:val="-2"/>
                <w:w w:val="105"/>
                <w:sz w:val="22"/>
              </w:rPr>
              <w:t>female</w:t>
            </w:r>
          </w:p>
        </w:tc>
        <w:tc>
          <w:tcPr>
            <w:tcW w:w="1837" w:type="dxa"/>
          </w:tcPr>
          <w:p>
            <w:pPr>
              <w:pStyle w:val="TableParagraph"/>
              <w:spacing w:line="238" w:lineRule="exact" w:before="3"/>
              <w:ind w:left="257"/>
              <w:rPr>
                <w:sz w:val="22"/>
              </w:rPr>
            </w:pPr>
            <w:r>
              <w:rPr>
                <w:spacing w:val="-5"/>
                <w:w w:val="110"/>
                <w:sz w:val="22"/>
              </w:rPr>
              <w:t>67</w:t>
            </w:r>
          </w:p>
        </w:tc>
        <w:tc>
          <w:tcPr>
            <w:tcW w:w="1739" w:type="dxa"/>
          </w:tcPr>
          <w:p>
            <w:pPr>
              <w:pStyle w:val="TableParagraph"/>
              <w:spacing w:line="242" w:lineRule="exact"/>
              <w:ind w:left="536"/>
              <w:rPr>
                <w:sz w:val="22"/>
              </w:rPr>
            </w:pPr>
            <w:r>
              <w:rPr>
                <w:spacing w:val="-5"/>
                <w:sz w:val="22"/>
              </w:rPr>
              <w:t>93</w:t>
            </w:r>
          </w:p>
        </w:tc>
        <w:tc>
          <w:tcPr>
            <w:tcW w:w="888" w:type="dxa"/>
          </w:tcPr>
          <w:p>
            <w:pPr>
              <w:pStyle w:val="TableParagraph"/>
              <w:spacing w:line="242" w:lineRule="exact"/>
              <w:ind w:left="201"/>
              <w:rPr>
                <w:sz w:val="22"/>
              </w:rPr>
            </w:pPr>
            <w:r>
              <w:rPr>
                <w:w w:val="105"/>
                <w:sz w:val="22"/>
              </w:rPr>
              <w:t>&lt;</w:t>
            </w:r>
            <w:r>
              <w:rPr>
                <w:spacing w:val="-4"/>
                <w:w w:val="105"/>
                <w:sz w:val="22"/>
              </w:rPr>
              <w:t> .001</w:t>
            </w:r>
          </w:p>
        </w:tc>
      </w:tr>
      <w:tr>
        <w:trPr>
          <w:trHeight w:val="261" w:hRule="atLeast"/>
        </w:trPr>
        <w:tc>
          <w:tcPr>
            <w:tcW w:w="3925" w:type="dxa"/>
          </w:tcPr>
          <w:p>
            <w:pPr>
              <w:pStyle w:val="TableParagraph"/>
              <w:spacing w:line="241" w:lineRule="exact" w:before="1"/>
              <w:ind w:left="10"/>
              <w:rPr>
                <w:sz w:val="22"/>
              </w:rPr>
            </w:pPr>
            <w:r>
              <w:rPr>
                <w:w w:val="105"/>
                <w:sz w:val="22"/>
              </w:rPr>
              <w:t>Education,</w:t>
            </w:r>
            <w:r>
              <w:rPr>
                <w:spacing w:val="-10"/>
                <w:w w:val="105"/>
                <w:sz w:val="22"/>
              </w:rPr>
              <w:t> %</w:t>
            </w:r>
          </w:p>
        </w:tc>
        <w:tc>
          <w:tcPr>
            <w:tcW w:w="1837" w:type="dxa"/>
          </w:tcPr>
          <w:p>
            <w:pPr>
              <w:pStyle w:val="TableParagraph"/>
              <w:rPr>
                <w:sz w:val="18"/>
              </w:rPr>
            </w:pPr>
          </w:p>
        </w:tc>
        <w:tc>
          <w:tcPr>
            <w:tcW w:w="1739" w:type="dxa"/>
          </w:tcPr>
          <w:p>
            <w:pPr>
              <w:pStyle w:val="TableParagraph"/>
              <w:rPr>
                <w:sz w:val="18"/>
              </w:rPr>
            </w:pPr>
          </w:p>
        </w:tc>
        <w:tc>
          <w:tcPr>
            <w:tcW w:w="888" w:type="dxa"/>
          </w:tcPr>
          <w:p>
            <w:pPr>
              <w:pStyle w:val="TableParagraph"/>
              <w:spacing w:line="242" w:lineRule="exact"/>
              <w:ind w:left="377"/>
              <w:rPr>
                <w:sz w:val="22"/>
              </w:rPr>
            </w:pPr>
            <w:r>
              <w:rPr>
                <w:spacing w:val="-4"/>
                <w:w w:val="105"/>
                <w:sz w:val="22"/>
              </w:rPr>
              <w:t>.047</w:t>
            </w:r>
          </w:p>
        </w:tc>
      </w:tr>
      <w:tr>
        <w:trPr>
          <w:trHeight w:val="261" w:hRule="atLeast"/>
        </w:trPr>
        <w:tc>
          <w:tcPr>
            <w:tcW w:w="3925" w:type="dxa"/>
          </w:tcPr>
          <w:p>
            <w:pPr>
              <w:pStyle w:val="TableParagraph"/>
              <w:spacing w:line="238" w:lineRule="exact" w:before="3"/>
              <w:ind w:left="426"/>
              <w:rPr>
                <w:sz w:val="22"/>
              </w:rPr>
            </w:pPr>
            <w:r>
              <w:rPr>
                <w:sz w:val="22"/>
              </w:rPr>
              <w:t>high</w:t>
            </w:r>
            <w:r>
              <w:rPr>
                <w:spacing w:val="15"/>
                <w:sz w:val="22"/>
              </w:rPr>
              <w:t> </w:t>
            </w:r>
            <w:r>
              <w:rPr>
                <w:spacing w:val="-2"/>
                <w:sz w:val="22"/>
              </w:rPr>
              <w:t>school</w:t>
            </w:r>
          </w:p>
        </w:tc>
        <w:tc>
          <w:tcPr>
            <w:tcW w:w="1837" w:type="dxa"/>
          </w:tcPr>
          <w:p>
            <w:pPr>
              <w:pStyle w:val="TableParagraph"/>
              <w:spacing w:line="242" w:lineRule="exact"/>
              <w:ind w:left="379"/>
              <w:rPr>
                <w:sz w:val="22"/>
              </w:rPr>
            </w:pPr>
            <w:r>
              <w:rPr>
                <w:spacing w:val="-10"/>
                <w:w w:val="105"/>
                <w:sz w:val="22"/>
              </w:rPr>
              <w:t>0</w:t>
            </w:r>
          </w:p>
        </w:tc>
        <w:tc>
          <w:tcPr>
            <w:tcW w:w="1739" w:type="dxa"/>
          </w:tcPr>
          <w:p>
            <w:pPr>
              <w:pStyle w:val="TableParagraph"/>
              <w:spacing w:line="242" w:lineRule="exact"/>
              <w:ind w:left="651"/>
              <w:rPr>
                <w:sz w:val="22"/>
              </w:rPr>
            </w:pPr>
            <w:r>
              <w:rPr>
                <w:spacing w:val="-10"/>
                <w:w w:val="110"/>
                <w:sz w:val="22"/>
              </w:rPr>
              <w:t>6</w:t>
            </w:r>
          </w:p>
        </w:tc>
        <w:tc>
          <w:tcPr>
            <w:tcW w:w="888" w:type="dxa"/>
          </w:tcPr>
          <w:p>
            <w:pPr>
              <w:pStyle w:val="TableParagraph"/>
              <w:rPr>
                <w:sz w:val="18"/>
              </w:rPr>
            </w:pPr>
          </w:p>
        </w:tc>
      </w:tr>
      <w:tr>
        <w:trPr>
          <w:trHeight w:val="257" w:hRule="atLeast"/>
        </w:trPr>
        <w:tc>
          <w:tcPr>
            <w:tcW w:w="3925" w:type="dxa"/>
          </w:tcPr>
          <w:p>
            <w:pPr>
              <w:pStyle w:val="TableParagraph"/>
              <w:spacing w:line="237" w:lineRule="exact"/>
              <w:ind w:left="234"/>
              <w:rPr>
                <w:sz w:val="22"/>
              </w:rPr>
            </w:pPr>
            <w:r>
              <w:rPr>
                <w:w w:val="105"/>
                <w:sz w:val="22"/>
              </w:rPr>
              <w:t>some</w:t>
            </w:r>
            <w:r>
              <w:rPr>
                <w:spacing w:val="-5"/>
                <w:w w:val="105"/>
                <w:sz w:val="22"/>
              </w:rPr>
              <w:t> </w:t>
            </w:r>
            <w:r>
              <w:rPr>
                <w:w w:val="105"/>
                <w:sz w:val="22"/>
              </w:rPr>
              <w:t>college</w:t>
            </w:r>
            <w:r>
              <w:rPr>
                <w:spacing w:val="-9"/>
                <w:w w:val="105"/>
                <w:sz w:val="22"/>
              </w:rPr>
              <w:t> </w:t>
            </w:r>
            <w:r>
              <w:rPr>
                <w:w w:val="105"/>
                <w:sz w:val="22"/>
              </w:rPr>
              <w:t>or professional</w:t>
            </w:r>
            <w:r>
              <w:rPr>
                <w:spacing w:val="10"/>
                <w:w w:val="105"/>
                <w:sz w:val="22"/>
              </w:rPr>
              <w:t> </w:t>
            </w:r>
            <w:r>
              <w:rPr>
                <w:spacing w:val="-2"/>
                <w:w w:val="105"/>
                <w:sz w:val="22"/>
              </w:rPr>
              <w:t>training</w:t>
            </w:r>
          </w:p>
        </w:tc>
        <w:tc>
          <w:tcPr>
            <w:tcW w:w="1837" w:type="dxa"/>
          </w:tcPr>
          <w:p>
            <w:pPr>
              <w:pStyle w:val="TableParagraph"/>
              <w:spacing w:line="237" w:lineRule="exact"/>
              <w:ind w:left="262"/>
              <w:rPr>
                <w:sz w:val="22"/>
              </w:rPr>
            </w:pPr>
            <w:r>
              <w:rPr>
                <w:spacing w:val="-5"/>
                <w:w w:val="105"/>
                <w:sz w:val="22"/>
              </w:rPr>
              <w:t>22</w:t>
            </w:r>
          </w:p>
        </w:tc>
        <w:tc>
          <w:tcPr>
            <w:tcW w:w="1739" w:type="dxa"/>
          </w:tcPr>
          <w:p>
            <w:pPr>
              <w:pStyle w:val="TableParagraph"/>
              <w:spacing w:line="237" w:lineRule="exact"/>
              <w:ind w:left="541"/>
              <w:rPr>
                <w:sz w:val="22"/>
              </w:rPr>
            </w:pPr>
            <w:r>
              <w:rPr>
                <w:spacing w:val="-5"/>
                <w:sz w:val="22"/>
              </w:rPr>
              <w:t>38</w:t>
            </w:r>
          </w:p>
        </w:tc>
        <w:tc>
          <w:tcPr>
            <w:tcW w:w="888" w:type="dxa"/>
          </w:tcPr>
          <w:p>
            <w:pPr>
              <w:pStyle w:val="TableParagraph"/>
              <w:rPr>
                <w:sz w:val="18"/>
              </w:rPr>
            </w:pPr>
          </w:p>
        </w:tc>
      </w:tr>
      <w:tr>
        <w:trPr>
          <w:trHeight w:val="264" w:hRule="atLeast"/>
        </w:trPr>
        <w:tc>
          <w:tcPr>
            <w:tcW w:w="3925" w:type="dxa"/>
          </w:tcPr>
          <w:p>
            <w:pPr>
              <w:pStyle w:val="TableParagraph"/>
              <w:spacing w:line="241" w:lineRule="exact" w:before="3"/>
              <w:ind w:left="232"/>
              <w:rPr>
                <w:sz w:val="22"/>
              </w:rPr>
            </w:pPr>
            <w:r>
              <w:rPr>
                <w:spacing w:val="-2"/>
                <w:w w:val="105"/>
                <w:sz w:val="22"/>
              </w:rPr>
              <w:t>college</w:t>
            </w:r>
          </w:p>
        </w:tc>
        <w:tc>
          <w:tcPr>
            <w:tcW w:w="1837" w:type="dxa"/>
          </w:tcPr>
          <w:p>
            <w:pPr>
              <w:pStyle w:val="TableParagraph"/>
              <w:spacing w:line="241" w:lineRule="exact" w:before="3"/>
              <w:ind w:left="258"/>
              <w:rPr>
                <w:sz w:val="22"/>
              </w:rPr>
            </w:pPr>
            <w:r>
              <w:rPr>
                <w:spacing w:val="-5"/>
                <w:w w:val="110"/>
                <w:sz w:val="22"/>
              </w:rPr>
              <w:t>40</w:t>
            </w:r>
          </w:p>
        </w:tc>
        <w:tc>
          <w:tcPr>
            <w:tcW w:w="1739" w:type="dxa"/>
          </w:tcPr>
          <w:p>
            <w:pPr>
              <w:pStyle w:val="TableParagraph"/>
              <w:spacing w:line="244" w:lineRule="exact"/>
              <w:ind w:left="540"/>
              <w:rPr>
                <w:sz w:val="22"/>
              </w:rPr>
            </w:pPr>
            <w:r>
              <w:rPr>
                <w:spacing w:val="-5"/>
                <w:sz w:val="22"/>
              </w:rPr>
              <w:t>22</w:t>
            </w:r>
          </w:p>
        </w:tc>
        <w:tc>
          <w:tcPr>
            <w:tcW w:w="888" w:type="dxa"/>
          </w:tcPr>
          <w:p>
            <w:pPr>
              <w:pStyle w:val="TableParagraph"/>
              <w:rPr>
                <w:sz w:val="18"/>
              </w:rPr>
            </w:pPr>
          </w:p>
        </w:tc>
      </w:tr>
      <w:tr>
        <w:trPr>
          <w:trHeight w:val="257" w:hRule="atLeast"/>
        </w:trPr>
        <w:tc>
          <w:tcPr>
            <w:tcW w:w="3925" w:type="dxa"/>
          </w:tcPr>
          <w:p>
            <w:pPr>
              <w:pStyle w:val="TableParagraph"/>
              <w:spacing w:line="237" w:lineRule="exact"/>
              <w:ind w:left="238"/>
              <w:rPr>
                <w:sz w:val="22"/>
              </w:rPr>
            </w:pPr>
            <w:r>
              <w:rPr>
                <w:w w:val="105"/>
                <w:sz w:val="22"/>
              </w:rPr>
              <w:t>graduate</w:t>
            </w:r>
            <w:r>
              <w:rPr>
                <w:spacing w:val="6"/>
                <w:w w:val="105"/>
                <w:sz w:val="22"/>
              </w:rPr>
              <w:t> </w:t>
            </w:r>
            <w:r>
              <w:rPr>
                <w:w w:val="105"/>
                <w:sz w:val="22"/>
              </w:rPr>
              <w:t>work</w:t>
            </w:r>
            <w:r>
              <w:rPr>
                <w:spacing w:val="-4"/>
                <w:w w:val="105"/>
                <w:sz w:val="22"/>
              </w:rPr>
              <w:t> </w:t>
            </w:r>
            <w:r>
              <w:rPr>
                <w:w w:val="105"/>
                <w:sz w:val="22"/>
              </w:rPr>
              <w:t>or</w:t>
            </w:r>
            <w:r>
              <w:rPr>
                <w:spacing w:val="-9"/>
                <w:w w:val="105"/>
                <w:sz w:val="22"/>
              </w:rPr>
              <w:t> </w:t>
            </w:r>
            <w:r>
              <w:rPr>
                <w:spacing w:val="-2"/>
                <w:w w:val="105"/>
                <w:sz w:val="22"/>
              </w:rPr>
              <w:t>degree</w:t>
            </w:r>
          </w:p>
        </w:tc>
        <w:tc>
          <w:tcPr>
            <w:tcW w:w="1837" w:type="dxa"/>
          </w:tcPr>
          <w:p>
            <w:pPr>
              <w:pStyle w:val="TableParagraph"/>
              <w:spacing w:line="237" w:lineRule="exact"/>
              <w:ind w:left="263"/>
              <w:rPr>
                <w:sz w:val="22"/>
              </w:rPr>
            </w:pPr>
            <w:r>
              <w:rPr>
                <w:spacing w:val="-5"/>
                <w:w w:val="105"/>
                <w:sz w:val="22"/>
              </w:rPr>
              <w:t>36</w:t>
            </w:r>
          </w:p>
        </w:tc>
        <w:tc>
          <w:tcPr>
            <w:tcW w:w="1739" w:type="dxa"/>
          </w:tcPr>
          <w:p>
            <w:pPr>
              <w:pStyle w:val="TableParagraph"/>
              <w:spacing w:line="237" w:lineRule="exact"/>
              <w:ind w:left="541"/>
              <w:rPr>
                <w:sz w:val="22"/>
              </w:rPr>
            </w:pPr>
            <w:r>
              <w:rPr>
                <w:spacing w:val="-5"/>
                <w:sz w:val="22"/>
              </w:rPr>
              <w:t>33</w:t>
            </w:r>
          </w:p>
        </w:tc>
        <w:tc>
          <w:tcPr>
            <w:tcW w:w="888" w:type="dxa"/>
          </w:tcPr>
          <w:p>
            <w:pPr>
              <w:pStyle w:val="TableParagraph"/>
              <w:rPr>
                <w:sz w:val="18"/>
              </w:rPr>
            </w:pPr>
          </w:p>
        </w:tc>
      </w:tr>
      <w:tr>
        <w:trPr>
          <w:trHeight w:val="391" w:hRule="atLeast"/>
        </w:trPr>
        <w:tc>
          <w:tcPr>
            <w:tcW w:w="3925" w:type="dxa"/>
          </w:tcPr>
          <w:p>
            <w:pPr>
              <w:pStyle w:val="TableParagraph"/>
              <w:spacing w:before="1"/>
              <w:ind w:left="10"/>
              <w:rPr>
                <w:sz w:val="22"/>
              </w:rPr>
            </w:pPr>
            <w:r>
              <w:rPr>
                <w:w w:val="105"/>
                <w:sz w:val="22"/>
              </w:rPr>
              <w:t>Hispanic</w:t>
            </w:r>
            <w:r>
              <w:rPr>
                <w:spacing w:val="5"/>
                <w:w w:val="105"/>
                <w:sz w:val="22"/>
              </w:rPr>
              <w:t> </w:t>
            </w:r>
            <w:r>
              <w:rPr>
                <w:w w:val="105"/>
                <w:sz w:val="22"/>
              </w:rPr>
              <w:t>(%</w:t>
            </w:r>
            <w:r>
              <w:rPr>
                <w:spacing w:val="-6"/>
                <w:w w:val="105"/>
                <w:sz w:val="22"/>
              </w:rPr>
              <w:t> </w:t>
            </w:r>
            <w:r>
              <w:rPr>
                <w:spacing w:val="-4"/>
                <w:w w:val="105"/>
                <w:sz w:val="22"/>
              </w:rPr>
              <w:t>yes)</w:t>
            </w:r>
          </w:p>
        </w:tc>
        <w:tc>
          <w:tcPr>
            <w:tcW w:w="1837" w:type="dxa"/>
          </w:tcPr>
          <w:p>
            <w:pPr>
              <w:pStyle w:val="TableParagraph"/>
              <w:spacing w:before="1"/>
              <w:ind w:left="378"/>
              <w:rPr>
                <w:sz w:val="22"/>
              </w:rPr>
            </w:pPr>
            <w:r>
              <w:rPr>
                <w:spacing w:val="-10"/>
                <w:w w:val="105"/>
                <w:sz w:val="22"/>
              </w:rPr>
              <w:t>4</w:t>
            </w:r>
          </w:p>
        </w:tc>
        <w:tc>
          <w:tcPr>
            <w:tcW w:w="1739" w:type="dxa"/>
          </w:tcPr>
          <w:p>
            <w:pPr>
              <w:pStyle w:val="TableParagraph"/>
              <w:spacing w:before="1"/>
              <w:ind w:left="657"/>
              <w:rPr>
                <w:sz w:val="22"/>
              </w:rPr>
            </w:pPr>
            <w:r>
              <w:rPr>
                <w:spacing w:val="-10"/>
                <w:w w:val="110"/>
                <w:sz w:val="22"/>
              </w:rPr>
              <w:t>7</w:t>
            </w:r>
          </w:p>
        </w:tc>
        <w:tc>
          <w:tcPr>
            <w:tcW w:w="888" w:type="dxa"/>
          </w:tcPr>
          <w:p>
            <w:pPr>
              <w:pStyle w:val="TableParagraph"/>
              <w:spacing w:line="249" w:lineRule="exact"/>
              <w:ind w:left="377"/>
              <w:rPr>
                <w:sz w:val="22"/>
              </w:rPr>
            </w:pPr>
            <w:r>
              <w:rPr>
                <w:spacing w:val="-4"/>
                <w:w w:val="105"/>
                <w:sz w:val="22"/>
              </w:rPr>
              <w:t>.397</w:t>
            </w:r>
          </w:p>
        </w:tc>
      </w:tr>
      <w:tr>
        <w:trPr>
          <w:trHeight w:val="391" w:hRule="atLeast"/>
        </w:trPr>
        <w:tc>
          <w:tcPr>
            <w:tcW w:w="3925" w:type="dxa"/>
          </w:tcPr>
          <w:p>
            <w:pPr>
              <w:pStyle w:val="TableParagraph"/>
              <w:spacing w:line="238" w:lineRule="exact" w:before="133"/>
              <w:ind w:left="14"/>
              <w:rPr>
                <w:sz w:val="22"/>
              </w:rPr>
            </w:pPr>
            <w:r>
              <w:rPr>
                <w:w w:val="105"/>
                <w:sz w:val="22"/>
              </w:rPr>
              <w:t>Ethnicity,</w:t>
            </w:r>
            <w:r>
              <w:rPr>
                <w:spacing w:val="-11"/>
                <w:w w:val="105"/>
                <w:sz w:val="22"/>
              </w:rPr>
              <w:t> </w:t>
            </w:r>
            <w:r>
              <w:rPr>
                <w:spacing w:val="-10"/>
                <w:w w:val="105"/>
                <w:sz w:val="22"/>
              </w:rPr>
              <w:t>%</w:t>
            </w:r>
          </w:p>
        </w:tc>
        <w:tc>
          <w:tcPr>
            <w:tcW w:w="1837" w:type="dxa"/>
          </w:tcPr>
          <w:p>
            <w:pPr>
              <w:pStyle w:val="TableParagraph"/>
              <w:rPr>
                <w:sz w:val="22"/>
              </w:rPr>
            </w:pPr>
          </w:p>
        </w:tc>
        <w:tc>
          <w:tcPr>
            <w:tcW w:w="1739" w:type="dxa"/>
          </w:tcPr>
          <w:p>
            <w:pPr>
              <w:pStyle w:val="TableParagraph"/>
              <w:rPr>
                <w:sz w:val="22"/>
              </w:rPr>
            </w:pPr>
          </w:p>
        </w:tc>
        <w:tc>
          <w:tcPr>
            <w:tcW w:w="888" w:type="dxa"/>
          </w:tcPr>
          <w:p>
            <w:pPr>
              <w:pStyle w:val="TableParagraph"/>
              <w:spacing w:line="243" w:lineRule="exact" w:before="128"/>
              <w:ind w:left="377"/>
              <w:rPr>
                <w:sz w:val="22"/>
              </w:rPr>
            </w:pPr>
            <w:r>
              <w:rPr>
                <w:spacing w:val="-4"/>
                <w:w w:val="105"/>
                <w:sz w:val="22"/>
              </w:rPr>
              <w:t>.005</w:t>
            </w:r>
          </w:p>
        </w:tc>
      </w:tr>
      <w:tr>
        <w:trPr>
          <w:trHeight w:val="261" w:hRule="atLeast"/>
        </w:trPr>
        <w:tc>
          <w:tcPr>
            <w:tcW w:w="3925" w:type="dxa"/>
          </w:tcPr>
          <w:p>
            <w:pPr>
              <w:pStyle w:val="TableParagraph"/>
              <w:spacing w:line="241" w:lineRule="exact" w:before="1"/>
              <w:ind w:left="251"/>
              <w:rPr>
                <w:sz w:val="22"/>
              </w:rPr>
            </w:pPr>
            <w:r>
              <w:rPr>
                <w:spacing w:val="-2"/>
                <w:w w:val="105"/>
                <w:sz w:val="22"/>
              </w:rPr>
              <w:t>White/Caucasian</w:t>
            </w:r>
          </w:p>
        </w:tc>
        <w:tc>
          <w:tcPr>
            <w:tcW w:w="1837" w:type="dxa"/>
          </w:tcPr>
          <w:p>
            <w:pPr>
              <w:pStyle w:val="TableParagraph"/>
              <w:spacing w:line="241" w:lineRule="exact" w:before="1"/>
              <w:ind w:left="263"/>
              <w:rPr>
                <w:sz w:val="22"/>
              </w:rPr>
            </w:pPr>
            <w:r>
              <w:rPr>
                <w:spacing w:val="-4"/>
                <w:w w:val="105"/>
                <w:sz w:val="22"/>
              </w:rPr>
              <w:t>88.2</w:t>
            </w:r>
          </w:p>
        </w:tc>
        <w:tc>
          <w:tcPr>
            <w:tcW w:w="1739" w:type="dxa"/>
          </w:tcPr>
          <w:p>
            <w:pPr>
              <w:pStyle w:val="TableParagraph"/>
              <w:spacing w:line="242" w:lineRule="exact"/>
              <w:ind w:left="541"/>
              <w:rPr>
                <w:sz w:val="22"/>
              </w:rPr>
            </w:pPr>
            <w:r>
              <w:rPr>
                <w:spacing w:val="-4"/>
                <w:w w:val="105"/>
                <w:sz w:val="22"/>
              </w:rPr>
              <w:t>87.0</w:t>
            </w:r>
          </w:p>
        </w:tc>
        <w:tc>
          <w:tcPr>
            <w:tcW w:w="888" w:type="dxa"/>
          </w:tcPr>
          <w:p>
            <w:pPr>
              <w:pStyle w:val="TableParagraph"/>
              <w:rPr>
                <w:sz w:val="18"/>
              </w:rPr>
            </w:pPr>
          </w:p>
        </w:tc>
      </w:tr>
      <w:tr>
        <w:trPr>
          <w:trHeight w:val="259" w:hRule="atLeast"/>
        </w:trPr>
        <w:tc>
          <w:tcPr>
            <w:tcW w:w="3925" w:type="dxa"/>
          </w:tcPr>
          <w:p>
            <w:pPr>
              <w:pStyle w:val="TableParagraph"/>
              <w:spacing w:line="240" w:lineRule="exact"/>
              <w:ind w:left="243"/>
              <w:rPr>
                <w:sz w:val="22"/>
              </w:rPr>
            </w:pPr>
            <w:r>
              <w:rPr>
                <w:w w:val="105"/>
                <w:sz w:val="22"/>
              </w:rPr>
              <w:t>African</w:t>
            </w:r>
            <w:r>
              <w:rPr>
                <w:spacing w:val="4"/>
                <w:w w:val="105"/>
                <w:sz w:val="22"/>
              </w:rPr>
              <w:t> </w:t>
            </w:r>
            <w:r>
              <w:rPr>
                <w:spacing w:val="-2"/>
                <w:w w:val="105"/>
                <w:sz w:val="22"/>
              </w:rPr>
              <w:t>American/Black</w:t>
            </w:r>
          </w:p>
        </w:tc>
        <w:tc>
          <w:tcPr>
            <w:tcW w:w="1837" w:type="dxa"/>
          </w:tcPr>
          <w:p>
            <w:pPr>
              <w:pStyle w:val="TableParagraph"/>
              <w:spacing w:line="240" w:lineRule="exact"/>
              <w:ind w:left="561"/>
              <w:rPr>
                <w:sz w:val="22"/>
              </w:rPr>
            </w:pPr>
            <w:r>
              <w:rPr>
                <w:spacing w:val="-10"/>
                <w:w w:val="110"/>
                <w:sz w:val="22"/>
              </w:rPr>
              <w:t>0</w:t>
            </w:r>
          </w:p>
        </w:tc>
        <w:tc>
          <w:tcPr>
            <w:tcW w:w="1739" w:type="dxa"/>
          </w:tcPr>
          <w:p>
            <w:pPr>
              <w:pStyle w:val="TableParagraph"/>
              <w:spacing w:line="240" w:lineRule="exact"/>
              <w:ind w:left="43" w:right="173"/>
              <w:jc w:val="center"/>
              <w:rPr>
                <w:sz w:val="22"/>
              </w:rPr>
            </w:pPr>
            <w:r>
              <w:rPr>
                <w:spacing w:val="-5"/>
                <w:w w:val="105"/>
                <w:sz w:val="22"/>
              </w:rPr>
              <w:t>2.9</w:t>
            </w:r>
          </w:p>
        </w:tc>
        <w:tc>
          <w:tcPr>
            <w:tcW w:w="888" w:type="dxa"/>
          </w:tcPr>
          <w:p>
            <w:pPr>
              <w:pStyle w:val="TableParagraph"/>
              <w:rPr>
                <w:sz w:val="18"/>
              </w:rPr>
            </w:pPr>
          </w:p>
        </w:tc>
      </w:tr>
      <w:tr>
        <w:trPr>
          <w:trHeight w:val="261" w:hRule="atLeast"/>
        </w:trPr>
        <w:tc>
          <w:tcPr>
            <w:tcW w:w="3925" w:type="dxa"/>
          </w:tcPr>
          <w:p>
            <w:pPr>
              <w:pStyle w:val="TableParagraph"/>
              <w:spacing w:line="238" w:lineRule="exact" w:before="3"/>
              <w:ind w:left="243"/>
              <w:rPr>
                <w:sz w:val="22"/>
              </w:rPr>
            </w:pPr>
            <w:r>
              <w:rPr>
                <w:spacing w:val="-2"/>
                <w:w w:val="105"/>
                <w:sz w:val="22"/>
              </w:rPr>
              <w:t>Asian/Pacific</w:t>
            </w:r>
            <w:r>
              <w:rPr>
                <w:spacing w:val="25"/>
                <w:w w:val="105"/>
                <w:sz w:val="22"/>
              </w:rPr>
              <w:t> </w:t>
            </w:r>
            <w:r>
              <w:rPr>
                <w:spacing w:val="-2"/>
                <w:w w:val="105"/>
                <w:sz w:val="22"/>
              </w:rPr>
              <w:t>Islander</w:t>
            </w:r>
          </w:p>
        </w:tc>
        <w:tc>
          <w:tcPr>
            <w:tcW w:w="1837" w:type="dxa"/>
          </w:tcPr>
          <w:p>
            <w:pPr>
              <w:pStyle w:val="TableParagraph"/>
              <w:spacing w:line="238" w:lineRule="exact" w:before="3"/>
              <w:ind w:left="270"/>
              <w:rPr>
                <w:sz w:val="22"/>
              </w:rPr>
            </w:pPr>
            <w:r>
              <w:rPr>
                <w:spacing w:val="-4"/>
                <w:w w:val="105"/>
                <w:sz w:val="22"/>
              </w:rPr>
              <w:t>10.5</w:t>
            </w:r>
          </w:p>
        </w:tc>
        <w:tc>
          <w:tcPr>
            <w:tcW w:w="1739" w:type="dxa"/>
          </w:tcPr>
          <w:p>
            <w:pPr>
              <w:pStyle w:val="TableParagraph"/>
              <w:spacing w:line="242" w:lineRule="exact"/>
              <w:ind w:left="178" w:right="141"/>
              <w:jc w:val="center"/>
              <w:rPr>
                <w:sz w:val="22"/>
              </w:rPr>
            </w:pPr>
            <w:r>
              <w:rPr>
                <w:spacing w:val="-10"/>
                <w:w w:val="105"/>
                <w:sz w:val="22"/>
              </w:rPr>
              <w:t>0</w:t>
            </w:r>
          </w:p>
        </w:tc>
        <w:tc>
          <w:tcPr>
            <w:tcW w:w="888" w:type="dxa"/>
          </w:tcPr>
          <w:p>
            <w:pPr>
              <w:pStyle w:val="TableParagraph"/>
              <w:rPr>
                <w:sz w:val="18"/>
              </w:rPr>
            </w:pPr>
          </w:p>
        </w:tc>
      </w:tr>
      <w:tr>
        <w:trPr>
          <w:trHeight w:val="261" w:hRule="atLeast"/>
        </w:trPr>
        <w:tc>
          <w:tcPr>
            <w:tcW w:w="3925" w:type="dxa"/>
          </w:tcPr>
          <w:p>
            <w:pPr>
              <w:pStyle w:val="TableParagraph"/>
              <w:spacing w:line="236" w:lineRule="exact" w:before="6"/>
              <w:ind w:left="238"/>
              <w:rPr>
                <w:sz w:val="22"/>
              </w:rPr>
            </w:pPr>
            <w:r>
              <w:rPr>
                <w:spacing w:val="-2"/>
                <w:w w:val="105"/>
                <w:sz w:val="22"/>
              </w:rPr>
              <w:t>multiracial</w:t>
            </w:r>
          </w:p>
        </w:tc>
        <w:tc>
          <w:tcPr>
            <w:tcW w:w="1837" w:type="dxa"/>
          </w:tcPr>
          <w:p>
            <w:pPr>
              <w:pStyle w:val="TableParagraph"/>
              <w:spacing w:line="241" w:lineRule="exact" w:before="1"/>
              <w:ind w:left="390"/>
              <w:rPr>
                <w:sz w:val="22"/>
              </w:rPr>
            </w:pPr>
            <w:r>
              <w:rPr>
                <w:spacing w:val="-5"/>
                <w:w w:val="105"/>
                <w:sz w:val="22"/>
              </w:rPr>
              <w:t>1.3</w:t>
            </w:r>
          </w:p>
        </w:tc>
        <w:tc>
          <w:tcPr>
            <w:tcW w:w="1739" w:type="dxa"/>
          </w:tcPr>
          <w:p>
            <w:pPr>
              <w:pStyle w:val="TableParagraph"/>
              <w:spacing w:line="242" w:lineRule="exact"/>
              <w:ind w:left="43" w:right="172"/>
              <w:jc w:val="center"/>
              <w:rPr>
                <w:sz w:val="22"/>
              </w:rPr>
            </w:pPr>
            <w:r>
              <w:rPr>
                <w:spacing w:val="-5"/>
                <w:w w:val="110"/>
                <w:sz w:val="22"/>
              </w:rPr>
              <w:t>8.7</w:t>
            </w:r>
          </w:p>
        </w:tc>
        <w:tc>
          <w:tcPr>
            <w:tcW w:w="888" w:type="dxa"/>
          </w:tcPr>
          <w:p>
            <w:pPr>
              <w:pStyle w:val="TableParagraph"/>
              <w:rPr>
                <w:sz w:val="18"/>
              </w:rPr>
            </w:pPr>
          </w:p>
        </w:tc>
      </w:tr>
      <w:tr>
        <w:trPr>
          <w:trHeight w:val="519" w:hRule="atLeast"/>
        </w:trPr>
        <w:tc>
          <w:tcPr>
            <w:tcW w:w="3925" w:type="dxa"/>
          </w:tcPr>
          <w:p>
            <w:pPr>
              <w:pStyle w:val="TableParagraph"/>
              <w:spacing w:before="8"/>
              <w:ind w:left="232"/>
              <w:rPr>
                <w:sz w:val="22"/>
              </w:rPr>
            </w:pPr>
            <w:r>
              <w:rPr>
                <w:spacing w:val="-4"/>
                <w:w w:val="105"/>
                <w:sz w:val="22"/>
              </w:rPr>
              <w:t>other</w:t>
            </w:r>
          </w:p>
          <w:p>
            <w:pPr>
              <w:pStyle w:val="TableParagraph"/>
              <w:spacing w:line="236" w:lineRule="exact" w:before="2"/>
              <w:ind w:left="15"/>
              <w:rPr>
                <w:sz w:val="22"/>
              </w:rPr>
            </w:pPr>
            <w:r>
              <w:rPr>
                <w:w w:val="105"/>
                <w:sz w:val="22"/>
              </w:rPr>
              <w:t>Marital</w:t>
            </w:r>
            <w:r>
              <w:rPr>
                <w:spacing w:val="-2"/>
                <w:w w:val="105"/>
                <w:sz w:val="22"/>
              </w:rPr>
              <w:t> </w:t>
            </w:r>
            <w:r>
              <w:rPr>
                <w:w w:val="105"/>
                <w:sz w:val="22"/>
              </w:rPr>
              <w:t>status,</w:t>
            </w:r>
            <w:r>
              <w:rPr>
                <w:spacing w:val="-10"/>
                <w:w w:val="105"/>
                <w:sz w:val="22"/>
              </w:rPr>
              <w:t> %</w:t>
            </w:r>
          </w:p>
        </w:tc>
        <w:tc>
          <w:tcPr>
            <w:tcW w:w="1837" w:type="dxa"/>
          </w:tcPr>
          <w:p>
            <w:pPr>
              <w:pStyle w:val="TableParagraph"/>
              <w:spacing w:line="252" w:lineRule="exact"/>
              <w:ind w:left="561"/>
              <w:rPr>
                <w:sz w:val="22"/>
              </w:rPr>
            </w:pPr>
            <w:r>
              <w:rPr>
                <w:spacing w:val="-10"/>
                <w:w w:val="105"/>
                <w:sz w:val="22"/>
              </w:rPr>
              <w:t>0</w:t>
            </w:r>
          </w:p>
        </w:tc>
        <w:tc>
          <w:tcPr>
            <w:tcW w:w="1739" w:type="dxa"/>
          </w:tcPr>
          <w:p>
            <w:pPr>
              <w:pStyle w:val="TableParagraph"/>
              <w:spacing w:line="247" w:lineRule="exact"/>
              <w:ind w:left="43" w:right="177"/>
              <w:jc w:val="center"/>
              <w:rPr>
                <w:sz w:val="22"/>
              </w:rPr>
            </w:pPr>
            <w:r>
              <w:rPr>
                <w:spacing w:val="-5"/>
                <w:w w:val="105"/>
                <w:sz w:val="22"/>
              </w:rPr>
              <w:t>1.4</w:t>
            </w:r>
          </w:p>
        </w:tc>
        <w:tc>
          <w:tcPr>
            <w:tcW w:w="888" w:type="dxa"/>
          </w:tcPr>
          <w:p>
            <w:pPr>
              <w:pStyle w:val="TableParagraph"/>
              <w:rPr>
                <w:sz w:val="22"/>
              </w:rPr>
            </w:pPr>
          </w:p>
          <w:p>
            <w:pPr>
              <w:pStyle w:val="TableParagraph"/>
              <w:spacing w:line="246" w:lineRule="exact"/>
              <w:ind w:left="381"/>
              <w:rPr>
                <w:sz w:val="22"/>
              </w:rPr>
            </w:pPr>
            <w:r>
              <w:rPr>
                <w:spacing w:val="-4"/>
                <w:w w:val="105"/>
                <w:sz w:val="22"/>
              </w:rPr>
              <w:t>.177</w:t>
            </w:r>
          </w:p>
        </w:tc>
      </w:tr>
      <w:tr>
        <w:trPr>
          <w:trHeight w:val="259" w:hRule="atLeast"/>
        </w:trPr>
        <w:tc>
          <w:tcPr>
            <w:tcW w:w="3925" w:type="dxa"/>
          </w:tcPr>
          <w:p>
            <w:pPr>
              <w:pStyle w:val="TableParagraph"/>
              <w:spacing w:line="236" w:lineRule="exact" w:before="3"/>
              <w:ind w:left="248"/>
              <w:rPr>
                <w:sz w:val="22"/>
              </w:rPr>
            </w:pPr>
            <w:r>
              <w:rPr>
                <w:sz w:val="22"/>
              </w:rPr>
              <w:t>never</w:t>
            </w:r>
            <w:r>
              <w:rPr>
                <w:spacing w:val="21"/>
                <w:sz w:val="22"/>
              </w:rPr>
              <w:t> </w:t>
            </w:r>
            <w:r>
              <w:rPr>
                <w:spacing w:val="-2"/>
                <w:sz w:val="22"/>
              </w:rPr>
              <w:t>married</w:t>
            </w:r>
          </w:p>
        </w:tc>
        <w:tc>
          <w:tcPr>
            <w:tcW w:w="1837" w:type="dxa"/>
          </w:tcPr>
          <w:p>
            <w:pPr>
              <w:pStyle w:val="TableParagraph"/>
              <w:spacing w:line="240" w:lineRule="exact"/>
              <w:ind w:left="383"/>
              <w:rPr>
                <w:sz w:val="22"/>
              </w:rPr>
            </w:pPr>
            <w:r>
              <w:rPr>
                <w:spacing w:val="-5"/>
                <w:w w:val="105"/>
                <w:sz w:val="22"/>
              </w:rPr>
              <w:t>3.9</w:t>
            </w:r>
          </w:p>
        </w:tc>
        <w:tc>
          <w:tcPr>
            <w:tcW w:w="1739" w:type="dxa"/>
          </w:tcPr>
          <w:p>
            <w:pPr>
              <w:pStyle w:val="TableParagraph"/>
              <w:spacing w:line="240" w:lineRule="exact"/>
              <w:ind w:left="548"/>
              <w:rPr>
                <w:sz w:val="22"/>
              </w:rPr>
            </w:pPr>
            <w:r>
              <w:rPr>
                <w:spacing w:val="-4"/>
                <w:sz w:val="22"/>
              </w:rPr>
              <w:t>11.4</w:t>
            </w:r>
          </w:p>
        </w:tc>
        <w:tc>
          <w:tcPr>
            <w:tcW w:w="888" w:type="dxa"/>
          </w:tcPr>
          <w:p>
            <w:pPr>
              <w:pStyle w:val="TableParagraph"/>
              <w:rPr>
                <w:sz w:val="18"/>
              </w:rPr>
            </w:pPr>
          </w:p>
        </w:tc>
      </w:tr>
      <w:tr>
        <w:trPr>
          <w:trHeight w:val="261" w:hRule="atLeast"/>
        </w:trPr>
        <w:tc>
          <w:tcPr>
            <w:tcW w:w="3925" w:type="dxa"/>
          </w:tcPr>
          <w:p>
            <w:pPr>
              <w:pStyle w:val="TableParagraph"/>
              <w:spacing w:line="238" w:lineRule="exact" w:before="3"/>
              <w:ind w:left="237"/>
              <w:rPr>
                <w:sz w:val="22"/>
              </w:rPr>
            </w:pPr>
            <w:r>
              <w:rPr>
                <w:spacing w:val="-2"/>
                <w:w w:val="105"/>
                <w:sz w:val="22"/>
              </w:rPr>
              <w:t>divorced/separated</w:t>
            </w:r>
          </w:p>
        </w:tc>
        <w:tc>
          <w:tcPr>
            <w:tcW w:w="1837" w:type="dxa"/>
          </w:tcPr>
          <w:p>
            <w:pPr>
              <w:pStyle w:val="TableParagraph"/>
              <w:spacing w:line="242" w:lineRule="exact"/>
              <w:ind w:left="267"/>
              <w:rPr>
                <w:sz w:val="22"/>
              </w:rPr>
            </w:pPr>
            <w:r>
              <w:rPr>
                <w:spacing w:val="-4"/>
                <w:w w:val="105"/>
                <w:sz w:val="22"/>
              </w:rPr>
              <w:t>28.9</w:t>
            </w:r>
          </w:p>
        </w:tc>
        <w:tc>
          <w:tcPr>
            <w:tcW w:w="1739" w:type="dxa"/>
          </w:tcPr>
          <w:p>
            <w:pPr>
              <w:pStyle w:val="TableParagraph"/>
              <w:spacing w:line="242" w:lineRule="exact"/>
              <w:ind w:left="545"/>
              <w:rPr>
                <w:sz w:val="22"/>
              </w:rPr>
            </w:pPr>
            <w:r>
              <w:rPr>
                <w:spacing w:val="-4"/>
                <w:w w:val="105"/>
                <w:sz w:val="22"/>
              </w:rPr>
              <w:t>24.3</w:t>
            </w:r>
          </w:p>
        </w:tc>
        <w:tc>
          <w:tcPr>
            <w:tcW w:w="888" w:type="dxa"/>
          </w:tcPr>
          <w:p>
            <w:pPr>
              <w:pStyle w:val="TableParagraph"/>
              <w:rPr>
                <w:sz w:val="18"/>
              </w:rPr>
            </w:pPr>
          </w:p>
        </w:tc>
      </w:tr>
      <w:tr>
        <w:trPr>
          <w:trHeight w:val="259" w:hRule="atLeast"/>
        </w:trPr>
        <w:tc>
          <w:tcPr>
            <w:tcW w:w="3925" w:type="dxa"/>
          </w:tcPr>
          <w:p>
            <w:pPr>
              <w:pStyle w:val="TableParagraph"/>
              <w:spacing w:line="238" w:lineRule="exact" w:before="1"/>
              <w:ind w:left="243"/>
              <w:rPr>
                <w:sz w:val="22"/>
              </w:rPr>
            </w:pPr>
            <w:r>
              <w:rPr>
                <w:spacing w:val="-2"/>
                <w:sz w:val="22"/>
              </w:rPr>
              <w:t>widowed</w:t>
            </w:r>
          </w:p>
        </w:tc>
        <w:tc>
          <w:tcPr>
            <w:tcW w:w="1837" w:type="dxa"/>
          </w:tcPr>
          <w:p>
            <w:pPr>
              <w:pStyle w:val="TableParagraph"/>
              <w:spacing w:line="240" w:lineRule="exact"/>
              <w:ind w:left="270"/>
              <w:rPr>
                <w:sz w:val="22"/>
              </w:rPr>
            </w:pPr>
            <w:r>
              <w:rPr>
                <w:spacing w:val="-4"/>
                <w:w w:val="105"/>
                <w:sz w:val="22"/>
              </w:rPr>
              <w:t>14.5</w:t>
            </w:r>
          </w:p>
        </w:tc>
        <w:tc>
          <w:tcPr>
            <w:tcW w:w="1739" w:type="dxa"/>
          </w:tcPr>
          <w:p>
            <w:pPr>
              <w:pStyle w:val="TableParagraph"/>
              <w:spacing w:line="240" w:lineRule="exact"/>
              <w:ind w:left="43" w:right="184"/>
              <w:jc w:val="center"/>
              <w:rPr>
                <w:sz w:val="22"/>
              </w:rPr>
            </w:pPr>
            <w:r>
              <w:rPr>
                <w:spacing w:val="-5"/>
                <w:sz w:val="22"/>
              </w:rPr>
              <w:t>7.1</w:t>
            </w:r>
          </w:p>
        </w:tc>
        <w:tc>
          <w:tcPr>
            <w:tcW w:w="888" w:type="dxa"/>
          </w:tcPr>
          <w:p>
            <w:pPr>
              <w:pStyle w:val="TableParagraph"/>
              <w:rPr>
                <w:sz w:val="18"/>
              </w:rPr>
            </w:pPr>
          </w:p>
        </w:tc>
      </w:tr>
      <w:tr>
        <w:trPr>
          <w:trHeight w:val="261" w:hRule="atLeast"/>
        </w:trPr>
        <w:tc>
          <w:tcPr>
            <w:tcW w:w="3925" w:type="dxa"/>
          </w:tcPr>
          <w:p>
            <w:pPr>
              <w:pStyle w:val="TableParagraph"/>
              <w:spacing w:line="236" w:lineRule="exact" w:before="6"/>
              <w:ind w:left="248"/>
              <w:rPr>
                <w:sz w:val="22"/>
              </w:rPr>
            </w:pPr>
            <w:r>
              <w:rPr>
                <w:spacing w:val="-2"/>
                <w:sz w:val="22"/>
              </w:rPr>
              <w:t>married</w:t>
            </w:r>
          </w:p>
        </w:tc>
        <w:tc>
          <w:tcPr>
            <w:tcW w:w="1837" w:type="dxa"/>
          </w:tcPr>
          <w:p>
            <w:pPr>
              <w:pStyle w:val="TableParagraph"/>
              <w:spacing w:line="241" w:lineRule="exact" w:before="1"/>
              <w:ind w:left="266"/>
              <w:rPr>
                <w:sz w:val="22"/>
              </w:rPr>
            </w:pPr>
            <w:r>
              <w:rPr>
                <w:spacing w:val="-4"/>
                <w:w w:val="105"/>
                <w:sz w:val="22"/>
              </w:rPr>
              <w:t>52.6</w:t>
            </w:r>
          </w:p>
        </w:tc>
        <w:tc>
          <w:tcPr>
            <w:tcW w:w="1739" w:type="dxa"/>
          </w:tcPr>
          <w:p>
            <w:pPr>
              <w:pStyle w:val="TableParagraph"/>
              <w:spacing w:line="242" w:lineRule="exact"/>
              <w:ind w:left="544"/>
              <w:rPr>
                <w:sz w:val="22"/>
              </w:rPr>
            </w:pPr>
            <w:r>
              <w:rPr>
                <w:spacing w:val="-4"/>
                <w:sz w:val="22"/>
              </w:rPr>
              <w:t>57.1</w:t>
            </w:r>
          </w:p>
        </w:tc>
        <w:tc>
          <w:tcPr>
            <w:tcW w:w="888" w:type="dxa"/>
          </w:tcPr>
          <w:p>
            <w:pPr>
              <w:pStyle w:val="TableParagraph"/>
              <w:rPr>
                <w:sz w:val="18"/>
              </w:rPr>
            </w:pPr>
          </w:p>
        </w:tc>
      </w:tr>
      <w:tr>
        <w:trPr>
          <w:trHeight w:val="261" w:hRule="atLeast"/>
        </w:trPr>
        <w:tc>
          <w:tcPr>
            <w:tcW w:w="3925" w:type="dxa"/>
          </w:tcPr>
          <w:p>
            <w:pPr>
              <w:pStyle w:val="TableParagraph"/>
              <w:spacing w:line="238" w:lineRule="exact" w:before="3"/>
              <w:ind w:left="6"/>
              <w:rPr>
                <w:sz w:val="22"/>
              </w:rPr>
            </w:pPr>
            <w:r>
              <w:rPr>
                <w:w w:val="105"/>
                <w:sz w:val="22"/>
              </w:rPr>
              <w:t>Current</w:t>
            </w:r>
            <w:r>
              <w:rPr>
                <w:spacing w:val="-1"/>
                <w:w w:val="105"/>
                <w:sz w:val="22"/>
              </w:rPr>
              <w:t> </w:t>
            </w:r>
            <w:r>
              <w:rPr>
                <w:w w:val="105"/>
                <w:sz w:val="22"/>
              </w:rPr>
              <w:t>employment</w:t>
            </w:r>
            <w:r>
              <w:rPr>
                <w:spacing w:val="9"/>
                <w:w w:val="105"/>
                <w:sz w:val="22"/>
              </w:rPr>
              <w:t> </w:t>
            </w:r>
            <w:r>
              <w:rPr>
                <w:w w:val="105"/>
                <w:sz w:val="22"/>
              </w:rPr>
              <w:t>status,</w:t>
            </w:r>
            <w:r>
              <w:rPr>
                <w:spacing w:val="-8"/>
                <w:w w:val="105"/>
                <w:sz w:val="22"/>
              </w:rPr>
              <w:t> </w:t>
            </w:r>
            <w:r>
              <w:rPr>
                <w:spacing w:val="-10"/>
                <w:w w:val="105"/>
                <w:sz w:val="22"/>
              </w:rPr>
              <w:t>%</w:t>
            </w:r>
          </w:p>
        </w:tc>
        <w:tc>
          <w:tcPr>
            <w:tcW w:w="1837" w:type="dxa"/>
          </w:tcPr>
          <w:p>
            <w:pPr>
              <w:pStyle w:val="TableParagraph"/>
              <w:rPr>
                <w:sz w:val="18"/>
              </w:rPr>
            </w:pPr>
          </w:p>
        </w:tc>
        <w:tc>
          <w:tcPr>
            <w:tcW w:w="1739" w:type="dxa"/>
          </w:tcPr>
          <w:p>
            <w:pPr>
              <w:pStyle w:val="TableParagraph"/>
              <w:rPr>
                <w:sz w:val="18"/>
              </w:rPr>
            </w:pPr>
          </w:p>
        </w:tc>
        <w:tc>
          <w:tcPr>
            <w:tcW w:w="888" w:type="dxa"/>
          </w:tcPr>
          <w:p>
            <w:pPr>
              <w:pStyle w:val="TableParagraph"/>
              <w:spacing w:line="242" w:lineRule="exact"/>
              <w:ind w:left="206"/>
              <w:rPr>
                <w:sz w:val="22"/>
              </w:rPr>
            </w:pPr>
            <w:r>
              <w:rPr>
                <w:spacing w:val="-2"/>
                <w:sz w:val="22"/>
              </w:rPr>
              <w:t>&lt;.001</w:t>
            </w:r>
          </w:p>
        </w:tc>
      </w:tr>
      <w:tr>
        <w:trPr>
          <w:trHeight w:val="264" w:hRule="atLeast"/>
        </w:trPr>
        <w:tc>
          <w:tcPr>
            <w:tcW w:w="3925" w:type="dxa"/>
          </w:tcPr>
          <w:p>
            <w:pPr>
              <w:pStyle w:val="TableParagraph"/>
              <w:spacing w:line="238" w:lineRule="exact" w:before="6"/>
              <w:ind w:left="253"/>
              <w:rPr>
                <w:sz w:val="22"/>
              </w:rPr>
            </w:pPr>
            <w:r>
              <w:rPr>
                <w:spacing w:val="-2"/>
                <w:sz w:val="22"/>
              </w:rPr>
              <w:t>retired</w:t>
            </w:r>
          </w:p>
        </w:tc>
        <w:tc>
          <w:tcPr>
            <w:tcW w:w="1837" w:type="dxa"/>
          </w:tcPr>
          <w:p>
            <w:pPr>
              <w:pStyle w:val="TableParagraph"/>
              <w:spacing w:line="243" w:lineRule="exact" w:before="1"/>
              <w:ind w:left="267"/>
              <w:rPr>
                <w:sz w:val="22"/>
              </w:rPr>
            </w:pPr>
            <w:r>
              <w:rPr>
                <w:spacing w:val="-4"/>
                <w:w w:val="105"/>
                <w:sz w:val="22"/>
              </w:rPr>
              <w:t>65.8</w:t>
            </w:r>
          </w:p>
        </w:tc>
        <w:tc>
          <w:tcPr>
            <w:tcW w:w="1739" w:type="dxa"/>
          </w:tcPr>
          <w:p>
            <w:pPr>
              <w:pStyle w:val="TableParagraph"/>
              <w:spacing w:line="244" w:lineRule="exact"/>
              <w:ind w:left="545"/>
              <w:rPr>
                <w:sz w:val="22"/>
              </w:rPr>
            </w:pPr>
            <w:r>
              <w:rPr>
                <w:spacing w:val="-4"/>
                <w:w w:val="105"/>
                <w:sz w:val="22"/>
              </w:rPr>
              <w:t>22.9</w:t>
            </w:r>
          </w:p>
        </w:tc>
        <w:tc>
          <w:tcPr>
            <w:tcW w:w="888" w:type="dxa"/>
          </w:tcPr>
          <w:p>
            <w:pPr>
              <w:pStyle w:val="TableParagraph"/>
              <w:rPr>
                <w:sz w:val="18"/>
              </w:rPr>
            </w:pPr>
          </w:p>
        </w:tc>
      </w:tr>
      <w:tr>
        <w:trPr>
          <w:trHeight w:val="259" w:hRule="atLeast"/>
        </w:trPr>
        <w:tc>
          <w:tcPr>
            <w:tcW w:w="3925" w:type="dxa"/>
          </w:tcPr>
          <w:p>
            <w:pPr>
              <w:pStyle w:val="TableParagraph"/>
              <w:spacing w:line="238" w:lineRule="exact" w:before="1"/>
              <w:ind w:left="248"/>
              <w:rPr>
                <w:sz w:val="22"/>
              </w:rPr>
            </w:pPr>
            <w:r>
              <w:rPr>
                <w:w w:val="105"/>
                <w:sz w:val="22"/>
              </w:rPr>
              <w:t>working</w:t>
            </w:r>
            <w:r>
              <w:rPr>
                <w:spacing w:val="-9"/>
                <w:w w:val="105"/>
                <w:sz w:val="22"/>
              </w:rPr>
              <w:t> </w:t>
            </w:r>
            <w:r>
              <w:rPr>
                <w:w w:val="105"/>
                <w:sz w:val="22"/>
              </w:rPr>
              <w:t>full-</w:t>
            </w:r>
            <w:r>
              <w:rPr>
                <w:spacing w:val="-4"/>
                <w:w w:val="105"/>
                <w:sz w:val="22"/>
              </w:rPr>
              <w:t>time</w:t>
            </w:r>
          </w:p>
        </w:tc>
        <w:tc>
          <w:tcPr>
            <w:tcW w:w="1837" w:type="dxa"/>
          </w:tcPr>
          <w:p>
            <w:pPr>
              <w:pStyle w:val="TableParagraph"/>
              <w:spacing w:line="238" w:lineRule="exact" w:before="1"/>
              <w:ind w:left="275"/>
              <w:rPr>
                <w:sz w:val="22"/>
              </w:rPr>
            </w:pPr>
            <w:r>
              <w:rPr>
                <w:spacing w:val="-4"/>
                <w:w w:val="105"/>
                <w:sz w:val="22"/>
              </w:rPr>
              <w:t>11.8</w:t>
            </w:r>
          </w:p>
        </w:tc>
        <w:tc>
          <w:tcPr>
            <w:tcW w:w="1739" w:type="dxa"/>
          </w:tcPr>
          <w:p>
            <w:pPr>
              <w:pStyle w:val="TableParagraph"/>
              <w:spacing w:line="240" w:lineRule="exact"/>
              <w:ind w:left="548"/>
              <w:rPr>
                <w:sz w:val="22"/>
              </w:rPr>
            </w:pPr>
            <w:r>
              <w:rPr>
                <w:spacing w:val="-4"/>
                <w:w w:val="105"/>
                <w:sz w:val="22"/>
              </w:rPr>
              <w:t>15.7</w:t>
            </w:r>
          </w:p>
        </w:tc>
        <w:tc>
          <w:tcPr>
            <w:tcW w:w="888" w:type="dxa"/>
          </w:tcPr>
          <w:p>
            <w:pPr>
              <w:pStyle w:val="TableParagraph"/>
              <w:rPr>
                <w:sz w:val="18"/>
              </w:rPr>
            </w:pPr>
          </w:p>
        </w:tc>
      </w:tr>
      <w:tr>
        <w:trPr>
          <w:trHeight w:val="259" w:hRule="atLeast"/>
        </w:trPr>
        <w:tc>
          <w:tcPr>
            <w:tcW w:w="3925" w:type="dxa"/>
          </w:tcPr>
          <w:p>
            <w:pPr>
              <w:pStyle w:val="TableParagraph"/>
              <w:spacing w:line="238" w:lineRule="exact" w:before="1"/>
              <w:ind w:left="248"/>
              <w:rPr>
                <w:sz w:val="22"/>
              </w:rPr>
            </w:pPr>
            <w:r>
              <w:rPr>
                <w:w w:val="105"/>
                <w:sz w:val="22"/>
              </w:rPr>
              <w:t>working</w:t>
            </w:r>
            <w:r>
              <w:rPr>
                <w:spacing w:val="-5"/>
                <w:w w:val="105"/>
                <w:sz w:val="22"/>
              </w:rPr>
              <w:t> </w:t>
            </w:r>
            <w:r>
              <w:rPr>
                <w:w w:val="105"/>
                <w:sz w:val="22"/>
              </w:rPr>
              <w:t>part-</w:t>
            </w:r>
            <w:r>
              <w:rPr>
                <w:spacing w:val="-4"/>
                <w:w w:val="105"/>
                <w:sz w:val="22"/>
              </w:rPr>
              <w:t>time</w:t>
            </w:r>
          </w:p>
        </w:tc>
        <w:tc>
          <w:tcPr>
            <w:tcW w:w="1837" w:type="dxa"/>
          </w:tcPr>
          <w:p>
            <w:pPr>
              <w:pStyle w:val="TableParagraph"/>
              <w:spacing w:line="240" w:lineRule="exact"/>
              <w:ind w:left="383"/>
              <w:rPr>
                <w:sz w:val="22"/>
              </w:rPr>
            </w:pPr>
            <w:r>
              <w:rPr>
                <w:spacing w:val="-5"/>
                <w:w w:val="105"/>
                <w:sz w:val="22"/>
              </w:rPr>
              <w:t>9.2</w:t>
            </w:r>
          </w:p>
        </w:tc>
        <w:tc>
          <w:tcPr>
            <w:tcW w:w="1739" w:type="dxa"/>
          </w:tcPr>
          <w:p>
            <w:pPr>
              <w:pStyle w:val="TableParagraph"/>
              <w:spacing w:line="240" w:lineRule="exact"/>
              <w:ind w:left="548"/>
              <w:rPr>
                <w:sz w:val="22"/>
              </w:rPr>
            </w:pPr>
            <w:r>
              <w:rPr>
                <w:spacing w:val="-4"/>
                <w:w w:val="105"/>
                <w:sz w:val="22"/>
              </w:rPr>
              <w:t>18.6</w:t>
            </w:r>
          </w:p>
        </w:tc>
        <w:tc>
          <w:tcPr>
            <w:tcW w:w="888" w:type="dxa"/>
          </w:tcPr>
          <w:p>
            <w:pPr>
              <w:pStyle w:val="TableParagraph"/>
              <w:rPr>
                <w:sz w:val="18"/>
              </w:rPr>
            </w:pPr>
          </w:p>
        </w:tc>
      </w:tr>
      <w:tr>
        <w:trPr>
          <w:trHeight w:val="259" w:hRule="atLeast"/>
        </w:trPr>
        <w:tc>
          <w:tcPr>
            <w:tcW w:w="3925" w:type="dxa"/>
          </w:tcPr>
          <w:p>
            <w:pPr>
              <w:pStyle w:val="TableParagraph"/>
              <w:spacing w:line="238" w:lineRule="exact" w:before="1"/>
              <w:ind w:left="252"/>
              <w:rPr>
                <w:sz w:val="22"/>
              </w:rPr>
            </w:pPr>
            <w:r>
              <w:rPr>
                <w:w w:val="105"/>
                <w:sz w:val="22"/>
              </w:rPr>
              <w:t>looking</w:t>
            </w:r>
            <w:r>
              <w:rPr>
                <w:spacing w:val="2"/>
                <w:w w:val="105"/>
                <w:sz w:val="22"/>
              </w:rPr>
              <w:t> </w:t>
            </w:r>
            <w:r>
              <w:rPr>
                <w:w w:val="105"/>
                <w:sz w:val="22"/>
              </w:rPr>
              <w:t>for</w:t>
            </w:r>
            <w:r>
              <w:rPr>
                <w:spacing w:val="-4"/>
                <w:w w:val="105"/>
                <w:sz w:val="22"/>
              </w:rPr>
              <w:t> work</w:t>
            </w:r>
          </w:p>
        </w:tc>
        <w:tc>
          <w:tcPr>
            <w:tcW w:w="1837" w:type="dxa"/>
          </w:tcPr>
          <w:p>
            <w:pPr>
              <w:pStyle w:val="TableParagraph"/>
              <w:spacing w:line="238" w:lineRule="exact" w:before="1"/>
              <w:ind w:left="386"/>
              <w:rPr>
                <w:sz w:val="22"/>
              </w:rPr>
            </w:pPr>
            <w:r>
              <w:rPr>
                <w:spacing w:val="-5"/>
                <w:w w:val="105"/>
                <w:sz w:val="22"/>
              </w:rPr>
              <w:t>5.3</w:t>
            </w:r>
          </w:p>
        </w:tc>
        <w:tc>
          <w:tcPr>
            <w:tcW w:w="1739" w:type="dxa"/>
          </w:tcPr>
          <w:p>
            <w:pPr>
              <w:pStyle w:val="TableParagraph"/>
              <w:spacing w:line="240" w:lineRule="exact"/>
              <w:ind w:left="43" w:right="163"/>
              <w:jc w:val="center"/>
              <w:rPr>
                <w:sz w:val="22"/>
              </w:rPr>
            </w:pPr>
            <w:r>
              <w:rPr>
                <w:spacing w:val="-5"/>
                <w:w w:val="105"/>
                <w:sz w:val="22"/>
              </w:rPr>
              <w:t>2.9</w:t>
            </w:r>
          </w:p>
        </w:tc>
        <w:tc>
          <w:tcPr>
            <w:tcW w:w="888" w:type="dxa"/>
          </w:tcPr>
          <w:p>
            <w:pPr>
              <w:pStyle w:val="TableParagraph"/>
              <w:rPr>
                <w:sz w:val="18"/>
              </w:rPr>
            </w:pPr>
          </w:p>
        </w:tc>
      </w:tr>
      <w:tr>
        <w:trPr>
          <w:trHeight w:val="261" w:hRule="atLeast"/>
        </w:trPr>
        <w:tc>
          <w:tcPr>
            <w:tcW w:w="3925" w:type="dxa"/>
          </w:tcPr>
          <w:p>
            <w:pPr>
              <w:pStyle w:val="TableParagraph"/>
              <w:spacing w:line="241" w:lineRule="exact" w:before="1"/>
              <w:ind w:left="255"/>
              <w:rPr>
                <w:sz w:val="22"/>
              </w:rPr>
            </w:pPr>
            <w:r>
              <w:rPr>
                <w:sz w:val="22"/>
              </w:rPr>
              <w:t>permanently</w:t>
            </w:r>
            <w:r>
              <w:rPr>
                <w:spacing w:val="45"/>
                <w:sz w:val="22"/>
              </w:rPr>
              <w:t> </w:t>
            </w:r>
            <w:r>
              <w:rPr>
                <w:spacing w:val="-2"/>
                <w:sz w:val="22"/>
              </w:rPr>
              <w:t>disabled</w:t>
            </w:r>
          </w:p>
        </w:tc>
        <w:tc>
          <w:tcPr>
            <w:tcW w:w="1837" w:type="dxa"/>
          </w:tcPr>
          <w:p>
            <w:pPr>
              <w:pStyle w:val="TableParagraph"/>
              <w:spacing w:line="241" w:lineRule="exact" w:before="1"/>
              <w:ind w:left="390"/>
              <w:rPr>
                <w:sz w:val="22"/>
              </w:rPr>
            </w:pPr>
            <w:r>
              <w:rPr>
                <w:spacing w:val="-5"/>
                <w:w w:val="105"/>
                <w:sz w:val="22"/>
              </w:rPr>
              <w:t>1.3</w:t>
            </w:r>
          </w:p>
        </w:tc>
        <w:tc>
          <w:tcPr>
            <w:tcW w:w="1739" w:type="dxa"/>
          </w:tcPr>
          <w:p>
            <w:pPr>
              <w:pStyle w:val="TableParagraph"/>
              <w:spacing w:line="242" w:lineRule="exact"/>
              <w:ind w:left="541"/>
              <w:rPr>
                <w:sz w:val="22"/>
              </w:rPr>
            </w:pPr>
            <w:r>
              <w:rPr>
                <w:spacing w:val="-4"/>
                <w:w w:val="105"/>
                <w:sz w:val="22"/>
              </w:rPr>
              <w:t>31.4</w:t>
            </w:r>
          </w:p>
        </w:tc>
        <w:tc>
          <w:tcPr>
            <w:tcW w:w="888" w:type="dxa"/>
          </w:tcPr>
          <w:p>
            <w:pPr>
              <w:pStyle w:val="TableParagraph"/>
              <w:rPr>
                <w:sz w:val="18"/>
              </w:rPr>
            </w:pPr>
          </w:p>
        </w:tc>
      </w:tr>
      <w:tr>
        <w:trPr>
          <w:trHeight w:val="261" w:hRule="atLeast"/>
        </w:trPr>
        <w:tc>
          <w:tcPr>
            <w:tcW w:w="3925" w:type="dxa"/>
          </w:tcPr>
          <w:p>
            <w:pPr>
              <w:pStyle w:val="TableParagraph"/>
              <w:spacing w:line="238" w:lineRule="exact" w:before="3"/>
              <w:ind w:left="252"/>
              <w:rPr>
                <w:sz w:val="22"/>
              </w:rPr>
            </w:pPr>
            <w:r>
              <w:rPr>
                <w:sz w:val="22"/>
              </w:rPr>
              <w:t>keeping</w:t>
            </w:r>
            <w:r>
              <w:rPr>
                <w:spacing w:val="40"/>
                <w:sz w:val="22"/>
              </w:rPr>
              <w:t> </w:t>
            </w:r>
            <w:r>
              <w:rPr>
                <w:spacing w:val="-2"/>
                <w:sz w:val="22"/>
              </w:rPr>
              <w:t>house</w:t>
            </w:r>
          </w:p>
        </w:tc>
        <w:tc>
          <w:tcPr>
            <w:tcW w:w="1837" w:type="dxa"/>
          </w:tcPr>
          <w:p>
            <w:pPr>
              <w:pStyle w:val="TableParagraph"/>
              <w:spacing w:line="242" w:lineRule="exact"/>
              <w:ind w:left="387"/>
              <w:rPr>
                <w:sz w:val="22"/>
              </w:rPr>
            </w:pPr>
            <w:r>
              <w:rPr>
                <w:spacing w:val="-5"/>
                <w:w w:val="110"/>
                <w:sz w:val="22"/>
              </w:rPr>
              <w:t>2.6</w:t>
            </w:r>
          </w:p>
        </w:tc>
        <w:tc>
          <w:tcPr>
            <w:tcW w:w="1739" w:type="dxa"/>
          </w:tcPr>
          <w:p>
            <w:pPr>
              <w:pStyle w:val="TableParagraph"/>
              <w:spacing w:line="242" w:lineRule="exact"/>
              <w:ind w:left="43" w:right="173"/>
              <w:jc w:val="center"/>
              <w:rPr>
                <w:sz w:val="22"/>
              </w:rPr>
            </w:pPr>
            <w:r>
              <w:rPr>
                <w:spacing w:val="-5"/>
                <w:w w:val="105"/>
                <w:sz w:val="22"/>
              </w:rPr>
              <w:t>8.6</w:t>
            </w:r>
          </w:p>
        </w:tc>
        <w:tc>
          <w:tcPr>
            <w:tcW w:w="888" w:type="dxa"/>
          </w:tcPr>
          <w:p>
            <w:pPr>
              <w:pStyle w:val="TableParagraph"/>
              <w:rPr>
                <w:sz w:val="18"/>
              </w:rPr>
            </w:pPr>
          </w:p>
        </w:tc>
      </w:tr>
      <w:tr>
        <w:trPr>
          <w:trHeight w:val="264" w:hRule="atLeast"/>
        </w:trPr>
        <w:tc>
          <w:tcPr>
            <w:tcW w:w="3925" w:type="dxa"/>
          </w:tcPr>
          <w:p>
            <w:pPr>
              <w:pStyle w:val="TableParagraph"/>
              <w:spacing w:line="238" w:lineRule="exact" w:before="6"/>
              <w:ind w:left="247"/>
              <w:rPr>
                <w:sz w:val="22"/>
              </w:rPr>
            </w:pPr>
            <w:r>
              <w:rPr>
                <w:spacing w:val="-4"/>
                <w:w w:val="105"/>
                <w:sz w:val="22"/>
              </w:rPr>
              <w:t>other</w:t>
            </w:r>
          </w:p>
        </w:tc>
        <w:tc>
          <w:tcPr>
            <w:tcW w:w="1837" w:type="dxa"/>
          </w:tcPr>
          <w:p>
            <w:pPr>
              <w:pStyle w:val="TableParagraph"/>
              <w:spacing w:line="244" w:lineRule="exact"/>
              <w:ind w:left="388"/>
              <w:rPr>
                <w:sz w:val="22"/>
              </w:rPr>
            </w:pPr>
            <w:r>
              <w:rPr>
                <w:spacing w:val="-5"/>
                <w:w w:val="110"/>
                <w:sz w:val="22"/>
              </w:rPr>
              <w:t>3.9</w:t>
            </w:r>
          </w:p>
        </w:tc>
        <w:tc>
          <w:tcPr>
            <w:tcW w:w="1739" w:type="dxa"/>
          </w:tcPr>
          <w:p>
            <w:pPr>
              <w:pStyle w:val="TableParagraph"/>
              <w:spacing w:line="244" w:lineRule="exact"/>
              <w:ind w:left="184" w:right="141"/>
              <w:jc w:val="center"/>
              <w:rPr>
                <w:sz w:val="22"/>
              </w:rPr>
            </w:pPr>
            <w:r>
              <w:rPr>
                <w:spacing w:val="-10"/>
                <w:w w:val="110"/>
                <w:sz w:val="22"/>
              </w:rPr>
              <w:t>0</w:t>
            </w:r>
          </w:p>
        </w:tc>
        <w:tc>
          <w:tcPr>
            <w:tcW w:w="888" w:type="dxa"/>
          </w:tcPr>
          <w:p>
            <w:pPr>
              <w:pStyle w:val="TableParagraph"/>
              <w:rPr>
                <w:sz w:val="18"/>
              </w:rPr>
            </w:pPr>
          </w:p>
        </w:tc>
      </w:tr>
      <w:tr>
        <w:trPr>
          <w:trHeight w:val="254" w:hRule="atLeast"/>
        </w:trPr>
        <w:tc>
          <w:tcPr>
            <w:tcW w:w="3925" w:type="dxa"/>
          </w:tcPr>
          <w:p>
            <w:pPr>
              <w:pStyle w:val="TableParagraph"/>
              <w:spacing w:line="235" w:lineRule="exact"/>
              <w:ind w:left="22"/>
              <w:rPr>
                <w:sz w:val="22"/>
              </w:rPr>
            </w:pPr>
            <w:r>
              <w:rPr>
                <w:w w:val="105"/>
                <w:sz w:val="22"/>
              </w:rPr>
              <w:t>Number</w:t>
            </w:r>
            <w:r>
              <w:rPr>
                <w:spacing w:val="2"/>
                <w:w w:val="105"/>
                <w:sz w:val="22"/>
              </w:rPr>
              <w:t> </w:t>
            </w:r>
            <w:r>
              <w:rPr>
                <w:w w:val="105"/>
                <w:sz w:val="22"/>
              </w:rPr>
              <w:t>of</w:t>
            </w:r>
            <w:r>
              <w:rPr>
                <w:spacing w:val="-7"/>
                <w:w w:val="105"/>
                <w:sz w:val="22"/>
              </w:rPr>
              <w:t> </w:t>
            </w:r>
            <w:r>
              <w:rPr>
                <w:w w:val="105"/>
                <w:sz w:val="22"/>
              </w:rPr>
              <w:t>weeks</w:t>
            </w:r>
            <w:r>
              <w:rPr>
                <w:spacing w:val="-10"/>
                <w:w w:val="105"/>
                <w:sz w:val="22"/>
              </w:rPr>
              <w:t> </w:t>
            </w:r>
            <w:r>
              <w:rPr>
                <w:w w:val="105"/>
                <w:sz w:val="22"/>
              </w:rPr>
              <w:t>employed</w:t>
            </w:r>
            <w:r>
              <w:rPr>
                <w:spacing w:val="13"/>
                <w:w w:val="105"/>
                <w:sz w:val="22"/>
              </w:rPr>
              <w:t> </w:t>
            </w:r>
            <w:r>
              <w:rPr>
                <w:w w:val="105"/>
                <w:sz w:val="22"/>
              </w:rPr>
              <w:t>in</w:t>
            </w:r>
            <w:r>
              <w:rPr>
                <w:spacing w:val="9"/>
                <w:w w:val="105"/>
                <w:sz w:val="22"/>
              </w:rPr>
              <w:t> </w:t>
            </w:r>
            <w:r>
              <w:rPr>
                <w:spacing w:val="-4"/>
                <w:w w:val="105"/>
                <w:sz w:val="22"/>
              </w:rPr>
              <w:t>last</w:t>
            </w:r>
          </w:p>
        </w:tc>
        <w:tc>
          <w:tcPr>
            <w:tcW w:w="1837" w:type="dxa"/>
          </w:tcPr>
          <w:p>
            <w:pPr>
              <w:pStyle w:val="TableParagraph"/>
              <w:rPr>
                <w:sz w:val="18"/>
              </w:rPr>
            </w:pPr>
          </w:p>
        </w:tc>
        <w:tc>
          <w:tcPr>
            <w:tcW w:w="1739" w:type="dxa"/>
          </w:tcPr>
          <w:p>
            <w:pPr>
              <w:pStyle w:val="TableParagraph"/>
              <w:rPr>
                <w:sz w:val="18"/>
              </w:rPr>
            </w:pPr>
          </w:p>
        </w:tc>
        <w:tc>
          <w:tcPr>
            <w:tcW w:w="888" w:type="dxa"/>
          </w:tcPr>
          <w:p>
            <w:pPr>
              <w:pStyle w:val="TableParagraph"/>
              <w:rPr>
                <w:sz w:val="18"/>
              </w:rPr>
            </w:pPr>
          </w:p>
        </w:tc>
      </w:tr>
      <w:tr>
        <w:trPr>
          <w:trHeight w:val="264" w:hRule="atLeast"/>
        </w:trPr>
        <w:tc>
          <w:tcPr>
            <w:tcW w:w="3925" w:type="dxa"/>
          </w:tcPr>
          <w:p>
            <w:pPr>
              <w:pStyle w:val="TableParagraph"/>
              <w:spacing w:line="243" w:lineRule="exact" w:before="1"/>
              <w:ind w:left="719"/>
              <w:rPr>
                <w:i/>
                <w:sz w:val="22"/>
              </w:rPr>
            </w:pPr>
            <w:r>
              <w:rPr>
                <w:sz w:val="22"/>
              </w:rPr>
              <w:t>12</w:t>
            </w:r>
            <w:r>
              <w:rPr>
                <w:spacing w:val="21"/>
                <w:sz w:val="22"/>
              </w:rPr>
              <w:t> </w:t>
            </w:r>
            <w:r>
              <w:rPr>
                <w:sz w:val="22"/>
              </w:rPr>
              <w:t>months,</w:t>
            </w:r>
            <w:r>
              <w:rPr>
                <w:spacing w:val="22"/>
                <w:sz w:val="22"/>
              </w:rPr>
              <w:t> </w:t>
            </w:r>
            <w:r>
              <w:rPr>
                <w:i/>
                <w:sz w:val="22"/>
              </w:rPr>
              <w:t>M</w:t>
            </w:r>
            <w:r>
              <w:rPr>
                <w:i/>
                <w:spacing w:val="19"/>
                <w:sz w:val="22"/>
              </w:rPr>
              <w:t> </w:t>
            </w:r>
            <w:r>
              <w:rPr>
                <w:i/>
                <w:spacing w:val="-4"/>
                <w:sz w:val="22"/>
              </w:rPr>
              <w:t>(SD)</w:t>
            </w:r>
          </w:p>
        </w:tc>
        <w:tc>
          <w:tcPr>
            <w:tcW w:w="1837" w:type="dxa"/>
          </w:tcPr>
          <w:p>
            <w:pPr>
              <w:pStyle w:val="TableParagraph"/>
              <w:spacing w:line="244" w:lineRule="exact"/>
              <w:ind w:left="279"/>
              <w:rPr>
                <w:sz w:val="22"/>
              </w:rPr>
            </w:pPr>
            <w:r>
              <w:rPr>
                <w:w w:val="105"/>
                <w:sz w:val="22"/>
              </w:rPr>
              <w:t>14.4 </w:t>
            </w:r>
            <w:r>
              <w:rPr>
                <w:spacing w:val="-2"/>
                <w:w w:val="105"/>
                <w:sz w:val="22"/>
              </w:rPr>
              <w:t>(22.5)</w:t>
            </w:r>
          </w:p>
        </w:tc>
        <w:tc>
          <w:tcPr>
            <w:tcW w:w="1739" w:type="dxa"/>
          </w:tcPr>
          <w:p>
            <w:pPr>
              <w:pStyle w:val="TableParagraph"/>
              <w:spacing w:line="244" w:lineRule="exact"/>
              <w:ind w:left="553"/>
              <w:rPr>
                <w:sz w:val="22"/>
              </w:rPr>
            </w:pPr>
            <w:r>
              <w:rPr>
                <w:w w:val="105"/>
                <w:sz w:val="22"/>
              </w:rPr>
              <w:t>16.9</w:t>
            </w:r>
            <w:r>
              <w:rPr>
                <w:spacing w:val="-15"/>
                <w:w w:val="105"/>
                <w:sz w:val="22"/>
              </w:rPr>
              <w:t> </w:t>
            </w:r>
            <w:r>
              <w:rPr>
                <w:spacing w:val="-2"/>
                <w:w w:val="105"/>
                <w:sz w:val="22"/>
              </w:rPr>
              <w:t>(22.3)</w:t>
            </w:r>
          </w:p>
        </w:tc>
        <w:tc>
          <w:tcPr>
            <w:tcW w:w="888" w:type="dxa"/>
          </w:tcPr>
          <w:p>
            <w:pPr>
              <w:pStyle w:val="TableParagraph"/>
              <w:spacing w:line="244" w:lineRule="exact"/>
              <w:ind w:left="381"/>
              <w:rPr>
                <w:sz w:val="22"/>
              </w:rPr>
            </w:pPr>
            <w:r>
              <w:rPr>
                <w:spacing w:val="-4"/>
                <w:w w:val="105"/>
                <w:sz w:val="22"/>
              </w:rPr>
              <w:t>.575</w:t>
            </w:r>
          </w:p>
        </w:tc>
      </w:tr>
      <w:tr>
        <w:trPr>
          <w:trHeight w:val="259" w:hRule="atLeast"/>
        </w:trPr>
        <w:tc>
          <w:tcPr>
            <w:tcW w:w="3925" w:type="dxa"/>
          </w:tcPr>
          <w:p>
            <w:pPr>
              <w:pStyle w:val="TableParagraph"/>
              <w:spacing w:line="238" w:lineRule="exact" w:before="1"/>
              <w:ind w:left="15"/>
              <w:rPr>
                <w:sz w:val="22"/>
              </w:rPr>
            </w:pPr>
            <w:r>
              <w:rPr>
                <w:w w:val="105"/>
                <w:sz w:val="22"/>
              </w:rPr>
              <w:t>Current</w:t>
            </w:r>
            <w:r>
              <w:rPr>
                <w:spacing w:val="9"/>
                <w:w w:val="105"/>
                <w:sz w:val="22"/>
              </w:rPr>
              <w:t> </w:t>
            </w:r>
            <w:r>
              <w:rPr>
                <w:w w:val="105"/>
                <w:sz w:val="22"/>
              </w:rPr>
              <w:t>responsibility</w:t>
            </w:r>
            <w:r>
              <w:rPr>
                <w:spacing w:val="-2"/>
                <w:w w:val="105"/>
                <w:sz w:val="22"/>
              </w:rPr>
              <w:t> </w:t>
            </w:r>
            <w:r>
              <w:rPr>
                <w:w w:val="105"/>
                <w:sz w:val="22"/>
              </w:rPr>
              <w:t>for</w:t>
            </w:r>
            <w:r>
              <w:rPr>
                <w:spacing w:val="-10"/>
                <w:w w:val="105"/>
                <w:sz w:val="22"/>
              </w:rPr>
              <w:t> </w:t>
            </w:r>
            <w:r>
              <w:rPr>
                <w:spacing w:val="-2"/>
                <w:w w:val="105"/>
                <w:sz w:val="22"/>
              </w:rPr>
              <w:t>children/</w:t>
            </w:r>
          </w:p>
        </w:tc>
        <w:tc>
          <w:tcPr>
            <w:tcW w:w="1837" w:type="dxa"/>
          </w:tcPr>
          <w:p>
            <w:pPr>
              <w:pStyle w:val="TableParagraph"/>
              <w:rPr>
                <w:sz w:val="18"/>
              </w:rPr>
            </w:pPr>
          </w:p>
        </w:tc>
        <w:tc>
          <w:tcPr>
            <w:tcW w:w="1739" w:type="dxa"/>
          </w:tcPr>
          <w:p>
            <w:pPr>
              <w:pStyle w:val="TableParagraph"/>
              <w:rPr>
                <w:sz w:val="18"/>
              </w:rPr>
            </w:pPr>
          </w:p>
        </w:tc>
        <w:tc>
          <w:tcPr>
            <w:tcW w:w="888" w:type="dxa"/>
          </w:tcPr>
          <w:p>
            <w:pPr>
              <w:pStyle w:val="TableParagraph"/>
              <w:rPr>
                <w:sz w:val="18"/>
              </w:rPr>
            </w:pPr>
          </w:p>
        </w:tc>
      </w:tr>
      <w:tr>
        <w:trPr>
          <w:trHeight w:val="259" w:hRule="atLeast"/>
        </w:trPr>
        <w:tc>
          <w:tcPr>
            <w:tcW w:w="3925" w:type="dxa"/>
          </w:tcPr>
          <w:p>
            <w:pPr>
              <w:pStyle w:val="TableParagraph"/>
              <w:spacing w:line="240" w:lineRule="exact"/>
              <w:ind w:left="704"/>
              <w:rPr>
                <w:sz w:val="22"/>
              </w:rPr>
            </w:pPr>
            <w:r>
              <w:rPr>
                <w:spacing w:val="2"/>
                <w:w w:val="105"/>
                <w:sz w:val="22"/>
              </w:rPr>
              <w:t>grandchildren(%</w:t>
            </w:r>
            <w:r>
              <w:rPr>
                <w:spacing w:val="40"/>
                <w:w w:val="105"/>
                <w:sz w:val="22"/>
              </w:rPr>
              <w:t> </w:t>
            </w:r>
            <w:r>
              <w:rPr>
                <w:spacing w:val="-4"/>
                <w:w w:val="105"/>
                <w:sz w:val="22"/>
              </w:rPr>
              <w:t>yes)</w:t>
            </w:r>
          </w:p>
        </w:tc>
        <w:tc>
          <w:tcPr>
            <w:tcW w:w="1837" w:type="dxa"/>
          </w:tcPr>
          <w:p>
            <w:pPr>
              <w:pStyle w:val="TableParagraph"/>
              <w:rPr>
                <w:sz w:val="18"/>
              </w:rPr>
            </w:pPr>
          </w:p>
        </w:tc>
        <w:tc>
          <w:tcPr>
            <w:tcW w:w="1739" w:type="dxa"/>
          </w:tcPr>
          <w:p>
            <w:pPr>
              <w:pStyle w:val="TableParagraph"/>
              <w:rPr>
                <w:sz w:val="18"/>
              </w:rPr>
            </w:pPr>
          </w:p>
        </w:tc>
        <w:tc>
          <w:tcPr>
            <w:tcW w:w="888" w:type="dxa"/>
          </w:tcPr>
          <w:p>
            <w:pPr>
              <w:pStyle w:val="TableParagraph"/>
              <w:spacing w:line="240" w:lineRule="exact"/>
              <w:ind w:left="377"/>
              <w:rPr>
                <w:sz w:val="22"/>
              </w:rPr>
            </w:pPr>
            <w:r>
              <w:rPr>
                <w:spacing w:val="-4"/>
                <w:w w:val="105"/>
                <w:sz w:val="22"/>
              </w:rPr>
              <w:t>.559</w:t>
            </w:r>
          </w:p>
        </w:tc>
      </w:tr>
      <w:tr>
        <w:trPr>
          <w:trHeight w:val="264" w:hRule="atLeast"/>
        </w:trPr>
        <w:tc>
          <w:tcPr>
            <w:tcW w:w="3925" w:type="dxa"/>
          </w:tcPr>
          <w:p>
            <w:pPr>
              <w:pStyle w:val="TableParagraph"/>
              <w:spacing w:line="238" w:lineRule="exact" w:before="6"/>
              <w:ind w:left="253"/>
              <w:rPr>
                <w:sz w:val="22"/>
              </w:rPr>
            </w:pPr>
            <w:r>
              <w:rPr>
                <w:sz w:val="22"/>
              </w:rPr>
              <w:t>not</w:t>
            </w:r>
            <w:r>
              <w:rPr>
                <w:spacing w:val="5"/>
                <w:sz w:val="22"/>
              </w:rPr>
              <w:t> </w:t>
            </w:r>
            <w:r>
              <w:rPr>
                <w:sz w:val="22"/>
              </w:rPr>
              <w:t>at</w:t>
            </w:r>
            <w:r>
              <w:rPr>
                <w:spacing w:val="6"/>
                <w:sz w:val="22"/>
              </w:rPr>
              <w:t> </w:t>
            </w:r>
            <w:r>
              <w:rPr>
                <w:spacing w:val="-5"/>
                <w:sz w:val="22"/>
              </w:rPr>
              <w:t>all</w:t>
            </w:r>
          </w:p>
        </w:tc>
        <w:tc>
          <w:tcPr>
            <w:tcW w:w="1837" w:type="dxa"/>
          </w:tcPr>
          <w:p>
            <w:pPr>
              <w:pStyle w:val="TableParagraph"/>
              <w:spacing w:line="243" w:lineRule="exact" w:before="1"/>
              <w:ind w:left="263"/>
              <w:rPr>
                <w:sz w:val="22"/>
              </w:rPr>
            </w:pPr>
            <w:r>
              <w:rPr>
                <w:spacing w:val="-4"/>
                <w:w w:val="110"/>
                <w:sz w:val="22"/>
              </w:rPr>
              <w:t>80.8</w:t>
            </w:r>
          </w:p>
        </w:tc>
        <w:tc>
          <w:tcPr>
            <w:tcW w:w="1739" w:type="dxa"/>
          </w:tcPr>
          <w:p>
            <w:pPr>
              <w:pStyle w:val="TableParagraph"/>
              <w:spacing w:line="243" w:lineRule="exact" w:before="1"/>
              <w:ind w:left="541"/>
              <w:rPr>
                <w:sz w:val="22"/>
              </w:rPr>
            </w:pPr>
            <w:r>
              <w:rPr>
                <w:spacing w:val="-4"/>
                <w:w w:val="105"/>
                <w:sz w:val="22"/>
              </w:rPr>
              <w:t>74.6</w:t>
            </w:r>
          </w:p>
        </w:tc>
        <w:tc>
          <w:tcPr>
            <w:tcW w:w="888" w:type="dxa"/>
          </w:tcPr>
          <w:p>
            <w:pPr>
              <w:pStyle w:val="TableParagraph"/>
              <w:rPr>
                <w:sz w:val="18"/>
              </w:rPr>
            </w:pPr>
          </w:p>
        </w:tc>
      </w:tr>
      <w:tr>
        <w:trPr>
          <w:trHeight w:val="259" w:hRule="atLeast"/>
        </w:trPr>
        <w:tc>
          <w:tcPr>
            <w:tcW w:w="3925" w:type="dxa"/>
          </w:tcPr>
          <w:p>
            <w:pPr>
              <w:pStyle w:val="TableParagraph"/>
              <w:spacing w:line="238" w:lineRule="exact" w:before="1"/>
              <w:ind w:left="243"/>
              <w:rPr>
                <w:sz w:val="22"/>
              </w:rPr>
            </w:pPr>
            <w:r>
              <w:rPr>
                <w:spacing w:val="-2"/>
                <w:w w:val="105"/>
                <w:sz w:val="22"/>
              </w:rPr>
              <w:t>somewhat</w:t>
            </w:r>
          </w:p>
        </w:tc>
        <w:tc>
          <w:tcPr>
            <w:tcW w:w="1837" w:type="dxa"/>
          </w:tcPr>
          <w:p>
            <w:pPr>
              <w:pStyle w:val="TableParagraph"/>
              <w:spacing w:line="240" w:lineRule="exact"/>
              <w:ind w:left="275"/>
              <w:rPr>
                <w:sz w:val="22"/>
              </w:rPr>
            </w:pPr>
            <w:r>
              <w:rPr>
                <w:spacing w:val="-4"/>
                <w:w w:val="105"/>
                <w:sz w:val="22"/>
              </w:rPr>
              <w:t>13.7</w:t>
            </w:r>
          </w:p>
        </w:tc>
        <w:tc>
          <w:tcPr>
            <w:tcW w:w="1739" w:type="dxa"/>
          </w:tcPr>
          <w:p>
            <w:pPr>
              <w:pStyle w:val="TableParagraph"/>
              <w:spacing w:line="240" w:lineRule="exact"/>
              <w:ind w:left="545"/>
              <w:rPr>
                <w:sz w:val="22"/>
              </w:rPr>
            </w:pPr>
            <w:r>
              <w:rPr>
                <w:spacing w:val="-4"/>
                <w:w w:val="105"/>
                <w:sz w:val="22"/>
              </w:rPr>
              <w:t>20.6</w:t>
            </w:r>
          </w:p>
        </w:tc>
        <w:tc>
          <w:tcPr>
            <w:tcW w:w="888" w:type="dxa"/>
          </w:tcPr>
          <w:p>
            <w:pPr>
              <w:pStyle w:val="TableParagraph"/>
              <w:rPr>
                <w:sz w:val="18"/>
              </w:rPr>
            </w:pPr>
          </w:p>
        </w:tc>
      </w:tr>
      <w:tr>
        <w:trPr>
          <w:trHeight w:val="254" w:hRule="atLeast"/>
        </w:trPr>
        <w:tc>
          <w:tcPr>
            <w:tcW w:w="3925" w:type="dxa"/>
          </w:tcPr>
          <w:p>
            <w:pPr>
              <w:pStyle w:val="TableParagraph"/>
              <w:spacing w:line="233" w:lineRule="exact" w:before="1"/>
              <w:ind w:left="251"/>
              <w:rPr>
                <w:sz w:val="22"/>
              </w:rPr>
            </w:pPr>
            <w:r>
              <w:rPr>
                <w:spacing w:val="-2"/>
                <w:sz w:val="22"/>
              </w:rPr>
              <w:t>fully</w:t>
            </w:r>
          </w:p>
        </w:tc>
        <w:tc>
          <w:tcPr>
            <w:tcW w:w="1837" w:type="dxa"/>
          </w:tcPr>
          <w:p>
            <w:pPr>
              <w:pStyle w:val="TableParagraph"/>
              <w:spacing w:line="233" w:lineRule="exact" w:before="1"/>
              <w:ind w:left="386"/>
              <w:rPr>
                <w:sz w:val="22"/>
              </w:rPr>
            </w:pPr>
            <w:r>
              <w:rPr>
                <w:spacing w:val="-5"/>
                <w:w w:val="105"/>
                <w:sz w:val="22"/>
              </w:rPr>
              <w:t>5.5</w:t>
            </w:r>
          </w:p>
        </w:tc>
        <w:tc>
          <w:tcPr>
            <w:tcW w:w="1739" w:type="dxa"/>
          </w:tcPr>
          <w:p>
            <w:pPr>
              <w:pStyle w:val="TableParagraph"/>
              <w:spacing w:line="234" w:lineRule="exact"/>
              <w:ind w:left="43" w:right="173"/>
              <w:jc w:val="center"/>
              <w:rPr>
                <w:sz w:val="22"/>
              </w:rPr>
            </w:pPr>
            <w:r>
              <w:rPr>
                <w:spacing w:val="-5"/>
                <w:w w:val="105"/>
                <w:sz w:val="22"/>
              </w:rPr>
              <w:t>4.8</w:t>
            </w:r>
          </w:p>
        </w:tc>
        <w:tc>
          <w:tcPr>
            <w:tcW w:w="888" w:type="dxa"/>
          </w:tcPr>
          <w:p>
            <w:pPr>
              <w:pStyle w:val="TableParagraph"/>
              <w:rPr>
                <w:sz w:val="18"/>
              </w:rPr>
            </w:pPr>
          </w:p>
        </w:tc>
      </w:tr>
    </w:tbl>
    <w:p>
      <w:pPr>
        <w:spacing w:after="0"/>
        <w:rPr>
          <w:sz w:val="18"/>
        </w:rPr>
        <w:sectPr>
          <w:headerReference w:type="default" r:id="rId31"/>
          <w:pgSz w:w="12460" w:h="15760"/>
          <w:pgMar w:header="1020" w:footer="0" w:top="1880" w:bottom="280" w:left="1760" w:right="1720"/>
        </w:sectPr>
      </w:pPr>
    </w:p>
    <w:p>
      <w:pPr>
        <w:pStyle w:val="BodyText"/>
        <w:tabs>
          <w:tab w:pos="8334" w:val="left" w:leader="none"/>
        </w:tabs>
        <w:spacing w:before="81" w:after="20"/>
        <w:ind w:left="462"/>
      </w:pPr>
      <w:r>
        <w:rPr>
          <w:w w:val="105"/>
        </w:rPr>
        <w:t>Current</w:t>
      </w:r>
      <w:r>
        <w:rPr>
          <w:spacing w:val="31"/>
          <w:w w:val="105"/>
        </w:rPr>
        <w:t> </w:t>
      </w:r>
      <w:r>
        <w:rPr>
          <w:w w:val="105"/>
        </w:rPr>
        <w:t>responsibility</w:t>
      </w:r>
      <w:r>
        <w:rPr>
          <w:spacing w:val="7"/>
          <w:w w:val="105"/>
        </w:rPr>
        <w:t> </w:t>
      </w:r>
      <w:r>
        <w:rPr>
          <w:w w:val="105"/>
        </w:rPr>
        <w:t>for</w:t>
      </w:r>
      <w:r>
        <w:rPr>
          <w:spacing w:val="7"/>
          <w:w w:val="105"/>
        </w:rPr>
        <w:t> </w:t>
      </w:r>
      <w:r>
        <w:rPr>
          <w:w w:val="105"/>
        </w:rPr>
        <w:t>other</w:t>
      </w:r>
      <w:r>
        <w:rPr>
          <w:spacing w:val="9"/>
          <w:w w:val="105"/>
        </w:rPr>
        <w:t> </w:t>
      </w:r>
      <w:r>
        <w:rPr>
          <w:w w:val="105"/>
        </w:rPr>
        <w:t>adults(%</w:t>
      </w:r>
      <w:r>
        <w:rPr>
          <w:spacing w:val="11"/>
          <w:w w:val="105"/>
        </w:rPr>
        <w:t> </w:t>
      </w:r>
      <w:r>
        <w:rPr>
          <w:spacing w:val="-4"/>
          <w:w w:val="105"/>
        </w:rPr>
        <w:t>yes)</w:t>
      </w:r>
      <w:r>
        <w:rPr/>
        <w:tab/>
      </w:r>
      <w:r>
        <w:rPr>
          <w:spacing w:val="-4"/>
          <w:w w:val="105"/>
        </w:rPr>
        <w:t>.240</w:t>
      </w:r>
    </w:p>
    <w:tbl>
      <w:tblPr>
        <w:tblW w:w="0" w:type="auto"/>
        <w:jc w:val="left"/>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81"/>
        <w:gridCol w:w="1860"/>
        <w:gridCol w:w="1757"/>
        <w:gridCol w:w="980"/>
      </w:tblGrid>
      <w:tr>
        <w:trPr>
          <w:trHeight w:val="254" w:hRule="atLeast"/>
        </w:trPr>
        <w:tc>
          <w:tcPr>
            <w:tcW w:w="3881" w:type="dxa"/>
          </w:tcPr>
          <w:p>
            <w:pPr>
              <w:pStyle w:val="TableParagraph"/>
              <w:spacing w:line="234" w:lineRule="exact"/>
              <w:ind w:left="283"/>
              <w:rPr>
                <w:sz w:val="22"/>
              </w:rPr>
            </w:pPr>
            <w:r>
              <w:rPr>
                <w:sz w:val="22"/>
              </w:rPr>
              <w:t>not</w:t>
            </w:r>
            <w:r>
              <w:rPr>
                <w:spacing w:val="7"/>
                <w:sz w:val="22"/>
              </w:rPr>
              <w:t> </w:t>
            </w:r>
            <w:r>
              <w:rPr>
                <w:sz w:val="22"/>
              </w:rPr>
              <w:t>at</w:t>
            </w:r>
            <w:r>
              <w:rPr>
                <w:spacing w:val="9"/>
                <w:sz w:val="22"/>
              </w:rPr>
              <w:t> </w:t>
            </w:r>
            <w:r>
              <w:rPr>
                <w:spacing w:val="-5"/>
                <w:sz w:val="22"/>
              </w:rPr>
              <w:t>all</w:t>
            </w:r>
          </w:p>
        </w:tc>
        <w:tc>
          <w:tcPr>
            <w:tcW w:w="1860" w:type="dxa"/>
          </w:tcPr>
          <w:p>
            <w:pPr>
              <w:pStyle w:val="TableParagraph"/>
              <w:spacing w:line="234" w:lineRule="exact"/>
              <w:ind w:left="352"/>
              <w:rPr>
                <w:sz w:val="22"/>
              </w:rPr>
            </w:pPr>
            <w:r>
              <w:rPr>
                <w:spacing w:val="-4"/>
                <w:w w:val="105"/>
                <w:sz w:val="22"/>
              </w:rPr>
              <w:t>75.7</w:t>
            </w:r>
          </w:p>
        </w:tc>
        <w:tc>
          <w:tcPr>
            <w:tcW w:w="1757" w:type="dxa"/>
          </w:tcPr>
          <w:p>
            <w:pPr>
              <w:pStyle w:val="TableParagraph"/>
              <w:spacing w:line="234" w:lineRule="exact"/>
              <w:ind w:left="593"/>
              <w:rPr>
                <w:sz w:val="22"/>
              </w:rPr>
            </w:pPr>
            <w:r>
              <w:rPr>
                <w:spacing w:val="-4"/>
                <w:w w:val="105"/>
                <w:sz w:val="22"/>
              </w:rPr>
              <w:t>71.0</w:t>
            </w:r>
          </w:p>
        </w:tc>
        <w:tc>
          <w:tcPr>
            <w:tcW w:w="980" w:type="dxa"/>
          </w:tcPr>
          <w:p>
            <w:pPr>
              <w:pStyle w:val="TableParagraph"/>
              <w:rPr>
                <w:sz w:val="18"/>
              </w:rPr>
            </w:pPr>
          </w:p>
        </w:tc>
      </w:tr>
      <w:tr>
        <w:trPr>
          <w:trHeight w:val="261" w:hRule="atLeast"/>
        </w:trPr>
        <w:tc>
          <w:tcPr>
            <w:tcW w:w="3881" w:type="dxa"/>
          </w:tcPr>
          <w:p>
            <w:pPr>
              <w:pStyle w:val="TableParagraph"/>
              <w:spacing w:line="242" w:lineRule="exact"/>
              <w:ind w:left="279"/>
              <w:rPr>
                <w:sz w:val="22"/>
              </w:rPr>
            </w:pPr>
            <w:r>
              <w:rPr>
                <w:spacing w:val="-2"/>
                <w:w w:val="105"/>
                <w:sz w:val="22"/>
              </w:rPr>
              <w:t>somewhat</w:t>
            </w:r>
          </w:p>
        </w:tc>
        <w:tc>
          <w:tcPr>
            <w:tcW w:w="1860" w:type="dxa"/>
          </w:tcPr>
          <w:p>
            <w:pPr>
              <w:pStyle w:val="TableParagraph"/>
              <w:spacing w:line="241" w:lineRule="exact" w:before="1"/>
              <w:ind w:left="359"/>
              <w:rPr>
                <w:sz w:val="22"/>
              </w:rPr>
            </w:pPr>
            <w:r>
              <w:rPr>
                <w:spacing w:val="-4"/>
                <w:w w:val="105"/>
                <w:sz w:val="22"/>
              </w:rPr>
              <w:t>18.9</w:t>
            </w:r>
          </w:p>
        </w:tc>
        <w:tc>
          <w:tcPr>
            <w:tcW w:w="1757" w:type="dxa"/>
          </w:tcPr>
          <w:p>
            <w:pPr>
              <w:pStyle w:val="TableParagraph"/>
              <w:spacing w:line="236" w:lineRule="exact" w:before="6"/>
              <w:ind w:left="596"/>
              <w:rPr>
                <w:sz w:val="22"/>
              </w:rPr>
            </w:pPr>
            <w:r>
              <w:rPr>
                <w:spacing w:val="-4"/>
                <w:w w:val="105"/>
                <w:sz w:val="22"/>
              </w:rPr>
              <w:t>27.5</w:t>
            </w:r>
          </w:p>
        </w:tc>
        <w:tc>
          <w:tcPr>
            <w:tcW w:w="980" w:type="dxa"/>
          </w:tcPr>
          <w:p>
            <w:pPr>
              <w:pStyle w:val="TableParagraph"/>
              <w:rPr>
                <w:sz w:val="18"/>
              </w:rPr>
            </w:pPr>
          </w:p>
        </w:tc>
      </w:tr>
      <w:tr>
        <w:trPr>
          <w:trHeight w:val="261" w:hRule="atLeast"/>
        </w:trPr>
        <w:tc>
          <w:tcPr>
            <w:tcW w:w="3881" w:type="dxa"/>
          </w:tcPr>
          <w:p>
            <w:pPr>
              <w:pStyle w:val="TableParagraph"/>
              <w:spacing w:line="242" w:lineRule="exact"/>
              <w:ind w:left="281"/>
              <w:rPr>
                <w:sz w:val="22"/>
              </w:rPr>
            </w:pPr>
            <w:r>
              <w:rPr>
                <w:spacing w:val="-2"/>
                <w:sz w:val="22"/>
              </w:rPr>
              <w:t>fully</w:t>
            </w:r>
          </w:p>
        </w:tc>
        <w:tc>
          <w:tcPr>
            <w:tcW w:w="1860" w:type="dxa"/>
          </w:tcPr>
          <w:p>
            <w:pPr>
              <w:pStyle w:val="TableParagraph"/>
              <w:spacing w:line="242" w:lineRule="exact"/>
              <w:ind w:left="470"/>
              <w:rPr>
                <w:sz w:val="22"/>
              </w:rPr>
            </w:pPr>
            <w:r>
              <w:rPr>
                <w:spacing w:val="-5"/>
                <w:w w:val="105"/>
                <w:sz w:val="22"/>
              </w:rPr>
              <w:t>5.4</w:t>
            </w:r>
          </w:p>
        </w:tc>
        <w:tc>
          <w:tcPr>
            <w:tcW w:w="1757" w:type="dxa"/>
          </w:tcPr>
          <w:p>
            <w:pPr>
              <w:pStyle w:val="TableParagraph"/>
              <w:spacing w:line="238" w:lineRule="exact" w:before="3"/>
              <w:ind w:left="124" w:right="164"/>
              <w:jc w:val="center"/>
              <w:rPr>
                <w:sz w:val="22"/>
              </w:rPr>
            </w:pPr>
            <w:r>
              <w:rPr>
                <w:spacing w:val="-5"/>
                <w:w w:val="105"/>
                <w:sz w:val="22"/>
              </w:rPr>
              <w:t>1.4</w:t>
            </w:r>
          </w:p>
        </w:tc>
        <w:tc>
          <w:tcPr>
            <w:tcW w:w="980" w:type="dxa"/>
          </w:tcPr>
          <w:p>
            <w:pPr>
              <w:pStyle w:val="TableParagraph"/>
              <w:rPr>
                <w:sz w:val="18"/>
              </w:rPr>
            </w:pPr>
          </w:p>
        </w:tc>
      </w:tr>
      <w:tr>
        <w:trPr>
          <w:trHeight w:val="259" w:hRule="atLeast"/>
        </w:trPr>
        <w:tc>
          <w:tcPr>
            <w:tcW w:w="3881" w:type="dxa"/>
          </w:tcPr>
          <w:p>
            <w:pPr>
              <w:pStyle w:val="TableParagraph"/>
              <w:spacing w:line="240" w:lineRule="exact"/>
              <w:ind w:left="50"/>
              <w:rPr>
                <w:sz w:val="22"/>
              </w:rPr>
            </w:pPr>
            <w:r>
              <w:rPr>
                <w:sz w:val="22"/>
              </w:rPr>
              <w:t>Experience</w:t>
            </w:r>
            <w:r>
              <w:rPr>
                <w:spacing w:val="35"/>
                <w:sz w:val="22"/>
              </w:rPr>
              <w:t> </w:t>
            </w:r>
            <w:r>
              <w:rPr>
                <w:sz w:val="22"/>
              </w:rPr>
              <w:t>with</w:t>
            </w:r>
            <w:r>
              <w:rPr>
                <w:spacing w:val="36"/>
                <w:sz w:val="22"/>
              </w:rPr>
              <w:t> </w:t>
            </w:r>
            <w:r>
              <w:rPr>
                <w:sz w:val="22"/>
              </w:rPr>
              <w:t>fatigue</w:t>
            </w:r>
            <w:r>
              <w:rPr>
                <w:spacing w:val="33"/>
                <w:sz w:val="22"/>
              </w:rPr>
              <w:t> </w:t>
            </w:r>
            <w:r>
              <w:rPr>
                <w:spacing w:val="-7"/>
                <w:sz w:val="22"/>
              </w:rPr>
              <w:t>in</w:t>
            </w:r>
          </w:p>
        </w:tc>
        <w:tc>
          <w:tcPr>
            <w:tcW w:w="1860" w:type="dxa"/>
          </w:tcPr>
          <w:p>
            <w:pPr>
              <w:pStyle w:val="TableParagraph"/>
              <w:spacing w:line="240" w:lineRule="exact"/>
              <w:ind w:right="592"/>
              <w:jc w:val="right"/>
              <w:rPr>
                <w:sz w:val="22"/>
              </w:rPr>
            </w:pPr>
            <w:r>
              <w:rPr>
                <w:w w:val="105"/>
                <w:sz w:val="22"/>
              </w:rPr>
              <w:t>1.8</w:t>
            </w:r>
            <w:r>
              <w:rPr>
                <w:spacing w:val="-4"/>
                <w:w w:val="105"/>
                <w:sz w:val="22"/>
              </w:rPr>
              <w:t> </w:t>
            </w:r>
            <w:r>
              <w:rPr>
                <w:spacing w:val="-2"/>
                <w:w w:val="105"/>
                <w:sz w:val="22"/>
              </w:rPr>
              <w:t>(1.6)</w:t>
            </w:r>
          </w:p>
        </w:tc>
        <w:tc>
          <w:tcPr>
            <w:tcW w:w="1757" w:type="dxa"/>
          </w:tcPr>
          <w:p>
            <w:pPr>
              <w:pStyle w:val="TableParagraph"/>
              <w:spacing w:line="238" w:lineRule="exact" w:before="1"/>
              <w:ind w:right="243"/>
              <w:jc w:val="right"/>
              <w:rPr>
                <w:sz w:val="22"/>
              </w:rPr>
            </w:pPr>
            <w:r>
              <w:rPr>
                <w:w w:val="105"/>
                <w:sz w:val="22"/>
              </w:rPr>
              <w:t>6.6</w:t>
            </w:r>
            <w:r>
              <w:rPr>
                <w:spacing w:val="8"/>
                <w:w w:val="105"/>
                <w:sz w:val="22"/>
              </w:rPr>
              <w:t> </w:t>
            </w:r>
            <w:r>
              <w:rPr>
                <w:spacing w:val="-2"/>
                <w:w w:val="105"/>
                <w:sz w:val="22"/>
              </w:rPr>
              <w:t>(2.4)</w:t>
            </w:r>
          </w:p>
        </w:tc>
        <w:tc>
          <w:tcPr>
            <w:tcW w:w="980" w:type="dxa"/>
          </w:tcPr>
          <w:p>
            <w:pPr>
              <w:pStyle w:val="TableParagraph"/>
              <w:spacing w:line="240" w:lineRule="exact"/>
              <w:ind w:left="142" w:right="109"/>
              <w:jc w:val="center"/>
              <w:rPr>
                <w:sz w:val="22"/>
              </w:rPr>
            </w:pPr>
            <w:r>
              <w:rPr>
                <w:spacing w:val="-2"/>
                <w:sz w:val="22"/>
              </w:rPr>
              <w:t>&lt;.001</w:t>
            </w:r>
          </w:p>
        </w:tc>
      </w:tr>
      <w:tr>
        <w:trPr>
          <w:trHeight w:val="259" w:hRule="atLeast"/>
        </w:trPr>
        <w:tc>
          <w:tcPr>
            <w:tcW w:w="3881" w:type="dxa"/>
          </w:tcPr>
          <w:p>
            <w:pPr>
              <w:pStyle w:val="TableParagraph"/>
              <w:spacing w:line="240" w:lineRule="exact"/>
              <w:ind w:left="747"/>
              <w:rPr>
                <w:i/>
                <w:sz w:val="22"/>
              </w:rPr>
            </w:pPr>
            <w:r>
              <w:rPr>
                <w:w w:val="105"/>
                <w:sz w:val="22"/>
              </w:rPr>
              <w:t>past</w:t>
            </w:r>
            <w:r>
              <w:rPr>
                <w:spacing w:val="-1"/>
                <w:w w:val="105"/>
                <w:sz w:val="22"/>
              </w:rPr>
              <w:t> </w:t>
            </w:r>
            <w:r>
              <w:rPr>
                <w:w w:val="105"/>
                <w:sz w:val="22"/>
              </w:rPr>
              <w:t>week,</w:t>
            </w:r>
            <w:r>
              <w:rPr>
                <w:spacing w:val="2"/>
                <w:w w:val="105"/>
                <w:sz w:val="22"/>
              </w:rPr>
              <w:t> </w:t>
            </w:r>
            <w:r>
              <w:rPr>
                <w:i/>
                <w:w w:val="105"/>
                <w:sz w:val="22"/>
              </w:rPr>
              <w:t>M</w:t>
            </w:r>
            <w:r>
              <w:rPr>
                <w:i/>
                <w:spacing w:val="-3"/>
                <w:w w:val="105"/>
                <w:sz w:val="22"/>
              </w:rPr>
              <w:t> </w:t>
            </w:r>
            <w:r>
              <w:rPr>
                <w:i/>
                <w:spacing w:val="-4"/>
                <w:w w:val="105"/>
                <w:sz w:val="22"/>
              </w:rPr>
              <w:t>(SD)</w:t>
            </w:r>
          </w:p>
        </w:tc>
        <w:tc>
          <w:tcPr>
            <w:tcW w:w="1860" w:type="dxa"/>
          </w:tcPr>
          <w:p>
            <w:pPr>
              <w:pStyle w:val="TableParagraph"/>
              <w:rPr>
                <w:sz w:val="18"/>
              </w:rPr>
            </w:pPr>
          </w:p>
        </w:tc>
        <w:tc>
          <w:tcPr>
            <w:tcW w:w="1757" w:type="dxa"/>
          </w:tcPr>
          <w:p>
            <w:pPr>
              <w:pStyle w:val="TableParagraph"/>
              <w:rPr>
                <w:sz w:val="18"/>
              </w:rPr>
            </w:pPr>
          </w:p>
        </w:tc>
        <w:tc>
          <w:tcPr>
            <w:tcW w:w="980" w:type="dxa"/>
          </w:tcPr>
          <w:p>
            <w:pPr>
              <w:pStyle w:val="TableParagraph"/>
              <w:rPr>
                <w:sz w:val="18"/>
              </w:rPr>
            </w:pPr>
          </w:p>
        </w:tc>
      </w:tr>
      <w:tr>
        <w:trPr>
          <w:trHeight w:val="254" w:hRule="atLeast"/>
        </w:trPr>
        <w:tc>
          <w:tcPr>
            <w:tcW w:w="3881" w:type="dxa"/>
          </w:tcPr>
          <w:p>
            <w:pPr>
              <w:pStyle w:val="TableParagraph"/>
              <w:spacing w:line="233" w:lineRule="exact" w:before="1"/>
              <w:ind w:left="50"/>
              <w:rPr>
                <w:sz w:val="22"/>
              </w:rPr>
            </w:pPr>
            <w:r>
              <w:rPr>
                <w:sz w:val="22"/>
              </w:rPr>
              <w:t>Experience</w:t>
            </w:r>
            <w:r>
              <w:rPr>
                <w:spacing w:val="32"/>
                <w:sz w:val="22"/>
              </w:rPr>
              <w:t> </w:t>
            </w:r>
            <w:r>
              <w:rPr>
                <w:sz w:val="22"/>
              </w:rPr>
              <w:t>with</w:t>
            </w:r>
            <w:r>
              <w:rPr>
                <w:spacing w:val="29"/>
                <w:sz w:val="22"/>
              </w:rPr>
              <w:t> </w:t>
            </w:r>
            <w:r>
              <w:rPr>
                <w:sz w:val="22"/>
              </w:rPr>
              <w:t>pain</w:t>
            </w:r>
            <w:r>
              <w:rPr>
                <w:spacing w:val="39"/>
                <w:sz w:val="22"/>
              </w:rPr>
              <w:t> </w:t>
            </w:r>
            <w:r>
              <w:rPr>
                <w:spacing w:val="-5"/>
                <w:sz w:val="22"/>
              </w:rPr>
              <w:t>in</w:t>
            </w:r>
          </w:p>
        </w:tc>
        <w:tc>
          <w:tcPr>
            <w:tcW w:w="1860" w:type="dxa"/>
          </w:tcPr>
          <w:p>
            <w:pPr>
              <w:pStyle w:val="TableParagraph"/>
              <w:spacing w:line="233" w:lineRule="exact" w:before="1"/>
              <w:ind w:right="591"/>
              <w:jc w:val="right"/>
              <w:rPr>
                <w:sz w:val="22"/>
              </w:rPr>
            </w:pPr>
            <w:r>
              <w:rPr>
                <w:w w:val="105"/>
                <w:sz w:val="22"/>
              </w:rPr>
              <w:t>1.7 </w:t>
            </w:r>
            <w:r>
              <w:rPr>
                <w:spacing w:val="-2"/>
                <w:w w:val="105"/>
                <w:sz w:val="22"/>
              </w:rPr>
              <w:t>(1.9)</w:t>
            </w:r>
          </w:p>
        </w:tc>
        <w:tc>
          <w:tcPr>
            <w:tcW w:w="1757" w:type="dxa"/>
          </w:tcPr>
          <w:p>
            <w:pPr>
              <w:pStyle w:val="TableParagraph"/>
              <w:spacing w:line="233" w:lineRule="exact" w:before="1"/>
              <w:ind w:right="243"/>
              <w:jc w:val="right"/>
              <w:rPr>
                <w:sz w:val="22"/>
              </w:rPr>
            </w:pPr>
            <w:r>
              <w:rPr>
                <w:w w:val="105"/>
                <w:sz w:val="22"/>
              </w:rPr>
              <w:t>6.4</w:t>
            </w:r>
            <w:r>
              <w:rPr>
                <w:spacing w:val="8"/>
                <w:w w:val="105"/>
                <w:sz w:val="22"/>
              </w:rPr>
              <w:t> </w:t>
            </w:r>
            <w:r>
              <w:rPr>
                <w:spacing w:val="-2"/>
                <w:w w:val="105"/>
                <w:sz w:val="22"/>
              </w:rPr>
              <w:t>(2.3)</w:t>
            </w:r>
          </w:p>
        </w:tc>
        <w:tc>
          <w:tcPr>
            <w:tcW w:w="980" w:type="dxa"/>
          </w:tcPr>
          <w:p>
            <w:pPr>
              <w:pStyle w:val="TableParagraph"/>
              <w:spacing w:line="233" w:lineRule="exact" w:before="1"/>
              <w:ind w:left="142" w:right="109"/>
              <w:jc w:val="center"/>
              <w:rPr>
                <w:sz w:val="22"/>
              </w:rPr>
            </w:pPr>
            <w:r>
              <w:rPr>
                <w:spacing w:val="-2"/>
                <w:sz w:val="22"/>
              </w:rPr>
              <w:t>&lt;.001</w:t>
            </w:r>
          </w:p>
        </w:tc>
      </w:tr>
      <w:tr>
        <w:trPr>
          <w:trHeight w:val="529" w:hRule="atLeast"/>
        </w:trPr>
        <w:tc>
          <w:tcPr>
            <w:tcW w:w="3881" w:type="dxa"/>
          </w:tcPr>
          <w:p>
            <w:pPr>
              <w:pStyle w:val="TableParagraph"/>
              <w:spacing w:before="6"/>
              <w:ind w:left="747"/>
              <w:rPr>
                <w:i/>
                <w:sz w:val="22"/>
              </w:rPr>
            </w:pPr>
            <w:r>
              <w:rPr>
                <w:w w:val="105"/>
                <w:sz w:val="22"/>
              </w:rPr>
              <w:t>past</w:t>
            </w:r>
            <w:r>
              <w:rPr>
                <w:spacing w:val="-3"/>
                <w:w w:val="105"/>
                <w:sz w:val="22"/>
              </w:rPr>
              <w:t> </w:t>
            </w:r>
            <w:r>
              <w:rPr>
                <w:w w:val="105"/>
                <w:sz w:val="22"/>
              </w:rPr>
              <w:t>week,</w:t>
            </w:r>
            <w:r>
              <w:rPr>
                <w:spacing w:val="3"/>
                <w:w w:val="105"/>
                <w:sz w:val="22"/>
              </w:rPr>
              <w:t> </w:t>
            </w:r>
            <w:r>
              <w:rPr>
                <w:i/>
                <w:w w:val="105"/>
                <w:sz w:val="22"/>
              </w:rPr>
              <w:t>M</w:t>
            </w:r>
            <w:r>
              <w:rPr>
                <w:i/>
                <w:spacing w:val="-1"/>
                <w:w w:val="105"/>
                <w:sz w:val="22"/>
              </w:rPr>
              <w:t> </w:t>
            </w:r>
            <w:r>
              <w:rPr>
                <w:i/>
                <w:spacing w:val="-4"/>
                <w:w w:val="105"/>
                <w:sz w:val="22"/>
              </w:rPr>
              <w:t>(SD)</w:t>
            </w:r>
          </w:p>
          <w:p>
            <w:pPr>
              <w:pStyle w:val="TableParagraph"/>
              <w:spacing w:line="243" w:lineRule="exact" w:before="7"/>
              <w:ind w:left="50"/>
              <w:rPr>
                <w:sz w:val="22"/>
              </w:rPr>
            </w:pPr>
            <w:r>
              <w:rPr>
                <w:w w:val="105"/>
                <w:sz w:val="22"/>
              </w:rPr>
              <w:t>Bodily</w:t>
            </w:r>
            <w:r>
              <w:rPr>
                <w:spacing w:val="5"/>
                <w:w w:val="105"/>
                <w:sz w:val="22"/>
              </w:rPr>
              <w:t> </w:t>
            </w:r>
            <w:r>
              <w:rPr>
                <w:w w:val="105"/>
                <w:sz w:val="22"/>
              </w:rPr>
              <w:t>pain</w:t>
            </w:r>
            <w:r>
              <w:rPr>
                <w:spacing w:val="6"/>
                <w:w w:val="105"/>
                <w:sz w:val="22"/>
              </w:rPr>
              <w:t> </w:t>
            </w:r>
            <w:r>
              <w:rPr>
                <w:w w:val="105"/>
                <w:sz w:val="22"/>
              </w:rPr>
              <w:t>in</w:t>
            </w:r>
            <w:r>
              <w:rPr>
                <w:spacing w:val="5"/>
                <w:w w:val="105"/>
                <w:sz w:val="22"/>
              </w:rPr>
              <w:t> </w:t>
            </w:r>
            <w:r>
              <w:rPr>
                <w:w w:val="105"/>
                <w:sz w:val="22"/>
              </w:rPr>
              <w:t>past</w:t>
            </w:r>
            <w:r>
              <w:rPr>
                <w:spacing w:val="-3"/>
                <w:w w:val="105"/>
                <w:sz w:val="22"/>
              </w:rPr>
              <w:t> </w:t>
            </w:r>
            <w:r>
              <w:rPr>
                <w:w w:val="105"/>
                <w:sz w:val="22"/>
              </w:rPr>
              <w:t>4</w:t>
            </w:r>
            <w:r>
              <w:rPr>
                <w:spacing w:val="-9"/>
                <w:w w:val="105"/>
                <w:sz w:val="22"/>
              </w:rPr>
              <w:t> </w:t>
            </w:r>
            <w:r>
              <w:rPr>
                <w:w w:val="105"/>
                <w:sz w:val="22"/>
              </w:rPr>
              <w:t>weeks,</w:t>
            </w:r>
            <w:r>
              <w:rPr>
                <w:spacing w:val="-5"/>
                <w:w w:val="105"/>
                <w:sz w:val="22"/>
              </w:rPr>
              <w:t> </w:t>
            </w:r>
            <w:r>
              <w:rPr>
                <w:spacing w:val="-10"/>
                <w:w w:val="105"/>
                <w:sz w:val="22"/>
              </w:rPr>
              <w:t>%</w:t>
            </w:r>
          </w:p>
        </w:tc>
        <w:tc>
          <w:tcPr>
            <w:tcW w:w="1860" w:type="dxa"/>
          </w:tcPr>
          <w:p>
            <w:pPr>
              <w:pStyle w:val="TableParagraph"/>
              <w:rPr>
                <w:sz w:val="22"/>
              </w:rPr>
            </w:pPr>
          </w:p>
        </w:tc>
        <w:tc>
          <w:tcPr>
            <w:tcW w:w="1757" w:type="dxa"/>
          </w:tcPr>
          <w:p>
            <w:pPr>
              <w:pStyle w:val="TableParagraph"/>
              <w:rPr>
                <w:sz w:val="22"/>
              </w:rPr>
            </w:pPr>
          </w:p>
        </w:tc>
        <w:tc>
          <w:tcPr>
            <w:tcW w:w="980" w:type="dxa"/>
          </w:tcPr>
          <w:p>
            <w:pPr>
              <w:pStyle w:val="TableParagraph"/>
              <w:spacing w:before="13"/>
              <w:rPr>
                <w:sz w:val="22"/>
              </w:rPr>
            </w:pPr>
          </w:p>
          <w:p>
            <w:pPr>
              <w:pStyle w:val="TableParagraph"/>
              <w:spacing w:line="243" w:lineRule="exact"/>
              <w:ind w:left="142" w:right="109"/>
              <w:jc w:val="center"/>
              <w:rPr>
                <w:sz w:val="22"/>
              </w:rPr>
            </w:pPr>
            <w:r>
              <w:rPr>
                <w:spacing w:val="-2"/>
                <w:sz w:val="22"/>
              </w:rPr>
              <w:t>&lt;.001</w:t>
            </w:r>
          </w:p>
        </w:tc>
      </w:tr>
      <w:tr>
        <w:trPr>
          <w:trHeight w:val="264" w:hRule="atLeast"/>
        </w:trPr>
        <w:tc>
          <w:tcPr>
            <w:tcW w:w="3881" w:type="dxa"/>
          </w:tcPr>
          <w:p>
            <w:pPr>
              <w:pStyle w:val="TableParagraph"/>
              <w:spacing w:line="243" w:lineRule="exact" w:before="1"/>
              <w:ind w:left="288"/>
              <w:rPr>
                <w:sz w:val="22"/>
              </w:rPr>
            </w:pPr>
            <w:r>
              <w:rPr>
                <w:spacing w:val="-4"/>
                <w:sz w:val="22"/>
              </w:rPr>
              <w:t>none</w:t>
            </w:r>
          </w:p>
        </w:tc>
        <w:tc>
          <w:tcPr>
            <w:tcW w:w="1860" w:type="dxa"/>
          </w:tcPr>
          <w:p>
            <w:pPr>
              <w:pStyle w:val="TableParagraph"/>
              <w:spacing w:line="238" w:lineRule="exact" w:before="6"/>
              <w:ind w:left="352"/>
              <w:rPr>
                <w:sz w:val="22"/>
              </w:rPr>
            </w:pPr>
            <w:r>
              <w:rPr>
                <w:spacing w:val="-4"/>
                <w:w w:val="105"/>
                <w:sz w:val="22"/>
              </w:rPr>
              <w:t>40.0</w:t>
            </w:r>
          </w:p>
        </w:tc>
        <w:tc>
          <w:tcPr>
            <w:tcW w:w="1757" w:type="dxa"/>
          </w:tcPr>
          <w:p>
            <w:pPr>
              <w:pStyle w:val="TableParagraph"/>
              <w:spacing w:line="238" w:lineRule="exact" w:before="6"/>
              <w:ind w:left="170" w:right="46"/>
              <w:jc w:val="center"/>
              <w:rPr>
                <w:sz w:val="22"/>
              </w:rPr>
            </w:pPr>
            <w:r>
              <w:rPr>
                <w:spacing w:val="-10"/>
                <w:w w:val="105"/>
                <w:sz w:val="22"/>
              </w:rPr>
              <w:t>0</w:t>
            </w:r>
          </w:p>
        </w:tc>
        <w:tc>
          <w:tcPr>
            <w:tcW w:w="980" w:type="dxa"/>
          </w:tcPr>
          <w:p>
            <w:pPr>
              <w:pStyle w:val="TableParagraph"/>
              <w:rPr>
                <w:sz w:val="18"/>
              </w:rPr>
            </w:pPr>
          </w:p>
        </w:tc>
      </w:tr>
      <w:tr>
        <w:trPr>
          <w:trHeight w:val="264" w:hRule="atLeast"/>
        </w:trPr>
        <w:tc>
          <w:tcPr>
            <w:tcW w:w="3881" w:type="dxa"/>
          </w:tcPr>
          <w:p>
            <w:pPr>
              <w:pStyle w:val="TableParagraph"/>
              <w:spacing w:line="244" w:lineRule="exact"/>
              <w:ind w:left="283"/>
              <w:rPr>
                <w:sz w:val="22"/>
              </w:rPr>
            </w:pPr>
            <w:r>
              <w:rPr>
                <w:spacing w:val="-2"/>
                <w:w w:val="105"/>
                <w:sz w:val="22"/>
              </w:rPr>
              <w:t>slightly</w:t>
            </w:r>
          </w:p>
        </w:tc>
        <w:tc>
          <w:tcPr>
            <w:tcW w:w="1860" w:type="dxa"/>
          </w:tcPr>
          <w:p>
            <w:pPr>
              <w:pStyle w:val="TableParagraph"/>
              <w:spacing w:line="243" w:lineRule="exact" w:before="1"/>
              <w:ind w:left="357"/>
              <w:rPr>
                <w:sz w:val="22"/>
              </w:rPr>
            </w:pPr>
            <w:r>
              <w:rPr>
                <w:spacing w:val="-4"/>
                <w:w w:val="105"/>
                <w:sz w:val="22"/>
              </w:rPr>
              <w:t>45.3</w:t>
            </w:r>
          </w:p>
        </w:tc>
        <w:tc>
          <w:tcPr>
            <w:tcW w:w="1757" w:type="dxa"/>
          </w:tcPr>
          <w:p>
            <w:pPr>
              <w:pStyle w:val="TableParagraph"/>
              <w:spacing w:line="238" w:lineRule="exact" w:before="6"/>
              <w:ind w:left="124" w:right="160"/>
              <w:jc w:val="center"/>
              <w:rPr>
                <w:sz w:val="22"/>
              </w:rPr>
            </w:pPr>
            <w:r>
              <w:rPr>
                <w:spacing w:val="-5"/>
                <w:w w:val="105"/>
                <w:sz w:val="22"/>
              </w:rPr>
              <w:t>8.6</w:t>
            </w:r>
          </w:p>
        </w:tc>
        <w:tc>
          <w:tcPr>
            <w:tcW w:w="980" w:type="dxa"/>
          </w:tcPr>
          <w:p>
            <w:pPr>
              <w:pStyle w:val="TableParagraph"/>
              <w:rPr>
                <w:sz w:val="18"/>
              </w:rPr>
            </w:pPr>
          </w:p>
        </w:tc>
      </w:tr>
      <w:tr>
        <w:trPr>
          <w:trHeight w:val="261" w:hRule="atLeast"/>
        </w:trPr>
        <w:tc>
          <w:tcPr>
            <w:tcW w:w="3881" w:type="dxa"/>
          </w:tcPr>
          <w:p>
            <w:pPr>
              <w:pStyle w:val="TableParagraph"/>
              <w:spacing w:line="242" w:lineRule="exact"/>
              <w:ind w:left="292"/>
              <w:rPr>
                <w:sz w:val="22"/>
              </w:rPr>
            </w:pPr>
            <w:r>
              <w:rPr>
                <w:spacing w:val="-2"/>
                <w:sz w:val="22"/>
              </w:rPr>
              <w:t>moderately</w:t>
            </w:r>
          </w:p>
        </w:tc>
        <w:tc>
          <w:tcPr>
            <w:tcW w:w="1860" w:type="dxa"/>
          </w:tcPr>
          <w:p>
            <w:pPr>
              <w:pStyle w:val="TableParagraph"/>
              <w:spacing w:line="242" w:lineRule="exact"/>
              <w:ind w:left="363"/>
              <w:rPr>
                <w:sz w:val="22"/>
              </w:rPr>
            </w:pPr>
            <w:r>
              <w:rPr>
                <w:spacing w:val="-4"/>
                <w:w w:val="105"/>
                <w:sz w:val="22"/>
              </w:rPr>
              <w:t>13.3</w:t>
            </w:r>
          </w:p>
        </w:tc>
        <w:tc>
          <w:tcPr>
            <w:tcW w:w="1757" w:type="dxa"/>
          </w:tcPr>
          <w:p>
            <w:pPr>
              <w:pStyle w:val="TableParagraph"/>
              <w:spacing w:line="241" w:lineRule="exact" w:before="1"/>
              <w:ind w:left="596"/>
              <w:rPr>
                <w:sz w:val="22"/>
              </w:rPr>
            </w:pPr>
            <w:r>
              <w:rPr>
                <w:spacing w:val="-4"/>
                <w:w w:val="105"/>
                <w:sz w:val="22"/>
              </w:rPr>
              <w:t>25.7</w:t>
            </w:r>
          </w:p>
        </w:tc>
        <w:tc>
          <w:tcPr>
            <w:tcW w:w="980" w:type="dxa"/>
          </w:tcPr>
          <w:p>
            <w:pPr>
              <w:pStyle w:val="TableParagraph"/>
              <w:rPr>
                <w:sz w:val="18"/>
              </w:rPr>
            </w:pPr>
          </w:p>
        </w:tc>
      </w:tr>
      <w:tr>
        <w:trPr>
          <w:trHeight w:val="259" w:hRule="atLeast"/>
        </w:trPr>
        <w:tc>
          <w:tcPr>
            <w:tcW w:w="3881" w:type="dxa"/>
          </w:tcPr>
          <w:p>
            <w:pPr>
              <w:pStyle w:val="TableParagraph"/>
              <w:spacing w:line="240" w:lineRule="exact"/>
              <w:ind w:left="277"/>
              <w:rPr>
                <w:sz w:val="22"/>
              </w:rPr>
            </w:pPr>
            <w:r>
              <w:rPr>
                <w:sz w:val="22"/>
              </w:rPr>
              <w:t>quite</w:t>
            </w:r>
            <w:r>
              <w:rPr>
                <w:spacing w:val="8"/>
                <w:sz w:val="22"/>
              </w:rPr>
              <w:t> </w:t>
            </w:r>
            <w:r>
              <w:rPr>
                <w:sz w:val="22"/>
              </w:rPr>
              <w:t>a</w:t>
            </w:r>
            <w:r>
              <w:rPr>
                <w:spacing w:val="34"/>
                <w:sz w:val="22"/>
              </w:rPr>
              <w:t> </w:t>
            </w:r>
            <w:r>
              <w:rPr>
                <w:spacing w:val="-5"/>
                <w:sz w:val="22"/>
              </w:rPr>
              <w:t>bit</w:t>
            </w:r>
          </w:p>
        </w:tc>
        <w:tc>
          <w:tcPr>
            <w:tcW w:w="1860" w:type="dxa"/>
          </w:tcPr>
          <w:p>
            <w:pPr>
              <w:pStyle w:val="TableParagraph"/>
              <w:spacing w:line="240" w:lineRule="exact"/>
              <w:ind w:left="479"/>
              <w:rPr>
                <w:sz w:val="22"/>
              </w:rPr>
            </w:pPr>
            <w:r>
              <w:rPr>
                <w:spacing w:val="-5"/>
                <w:w w:val="105"/>
                <w:sz w:val="22"/>
              </w:rPr>
              <w:t>1.3</w:t>
            </w:r>
          </w:p>
        </w:tc>
        <w:tc>
          <w:tcPr>
            <w:tcW w:w="1757" w:type="dxa"/>
          </w:tcPr>
          <w:p>
            <w:pPr>
              <w:pStyle w:val="TableParagraph"/>
              <w:spacing w:line="240" w:lineRule="exact"/>
              <w:ind w:left="595"/>
              <w:rPr>
                <w:sz w:val="22"/>
              </w:rPr>
            </w:pPr>
            <w:r>
              <w:rPr>
                <w:spacing w:val="-4"/>
                <w:w w:val="110"/>
                <w:sz w:val="22"/>
              </w:rPr>
              <w:t>57.l</w:t>
            </w:r>
          </w:p>
        </w:tc>
        <w:tc>
          <w:tcPr>
            <w:tcW w:w="980" w:type="dxa"/>
          </w:tcPr>
          <w:p>
            <w:pPr>
              <w:pStyle w:val="TableParagraph"/>
              <w:rPr>
                <w:sz w:val="18"/>
              </w:rPr>
            </w:pPr>
          </w:p>
        </w:tc>
      </w:tr>
      <w:tr>
        <w:trPr>
          <w:trHeight w:val="257" w:hRule="atLeast"/>
        </w:trPr>
        <w:tc>
          <w:tcPr>
            <w:tcW w:w="3881" w:type="dxa"/>
          </w:tcPr>
          <w:p>
            <w:pPr>
              <w:pStyle w:val="TableParagraph"/>
              <w:spacing w:line="237" w:lineRule="exact"/>
              <w:ind w:left="279"/>
              <w:rPr>
                <w:sz w:val="22"/>
              </w:rPr>
            </w:pPr>
            <w:r>
              <w:rPr>
                <w:spacing w:val="-2"/>
                <w:w w:val="105"/>
                <w:sz w:val="22"/>
              </w:rPr>
              <w:t>severe</w:t>
            </w:r>
          </w:p>
        </w:tc>
        <w:tc>
          <w:tcPr>
            <w:tcW w:w="1860" w:type="dxa"/>
          </w:tcPr>
          <w:p>
            <w:pPr>
              <w:pStyle w:val="TableParagraph"/>
              <w:spacing w:line="237" w:lineRule="exact"/>
              <w:ind w:right="444"/>
              <w:jc w:val="center"/>
              <w:rPr>
                <w:sz w:val="22"/>
              </w:rPr>
            </w:pPr>
            <w:r>
              <w:rPr>
                <w:spacing w:val="-10"/>
                <w:w w:val="110"/>
                <w:sz w:val="22"/>
              </w:rPr>
              <w:t>0</w:t>
            </w:r>
          </w:p>
        </w:tc>
        <w:tc>
          <w:tcPr>
            <w:tcW w:w="1757" w:type="dxa"/>
          </w:tcPr>
          <w:p>
            <w:pPr>
              <w:pStyle w:val="TableParagraph"/>
              <w:spacing w:line="237" w:lineRule="exact"/>
              <w:ind w:left="124" w:right="170"/>
              <w:jc w:val="center"/>
              <w:rPr>
                <w:sz w:val="22"/>
              </w:rPr>
            </w:pPr>
            <w:r>
              <w:rPr>
                <w:spacing w:val="-5"/>
                <w:w w:val="105"/>
                <w:sz w:val="22"/>
              </w:rPr>
              <w:t>8.6</w:t>
            </w:r>
          </w:p>
        </w:tc>
        <w:tc>
          <w:tcPr>
            <w:tcW w:w="980" w:type="dxa"/>
          </w:tcPr>
          <w:p>
            <w:pPr>
              <w:pStyle w:val="TableParagraph"/>
              <w:rPr>
                <w:sz w:val="18"/>
              </w:rPr>
            </w:pPr>
          </w:p>
        </w:tc>
      </w:tr>
      <w:tr>
        <w:trPr>
          <w:trHeight w:val="261" w:hRule="atLeast"/>
        </w:trPr>
        <w:tc>
          <w:tcPr>
            <w:tcW w:w="3881" w:type="dxa"/>
          </w:tcPr>
          <w:p>
            <w:pPr>
              <w:pStyle w:val="TableParagraph"/>
              <w:spacing w:line="241" w:lineRule="exact" w:before="1"/>
              <w:ind w:left="55"/>
              <w:rPr>
                <w:i/>
                <w:sz w:val="22"/>
              </w:rPr>
            </w:pPr>
            <w:r>
              <w:rPr>
                <w:sz w:val="22"/>
              </w:rPr>
              <w:t>Beck</w:t>
            </w:r>
            <w:r>
              <w:rPr>
                <w:spacing w:val="34"/>
                <w:sz w:val="22"/>
              </w:rPr>
              <w:t> </w:t>
            </w:r>
            <w:r>
              <w:rPr>
                <w:sz w:val="22"/>
              </w:rPr>
              <w:t>Depression</w:t>
            </w:r>
            <w:r>
              <w:rPr>
                <w:spacing w:val="48"/>
                <w:sz w:val="22"/>
              </w:rPr>
              <w:t> </w:t>
            </w:r>
            <w:r>
              <w:rPr>
                <w:sz w:val="22"/>
              </w:rPr>
              <w:t>Inventory,</w:t>
            </w:r>
            <w:r>
              <w:rPr>
                <w:spacing w:val="35"/>
                <w:sz w:val="22"/>
              </w:rPr>
              <w:t> </w:t>
            </w:r>
            <w:r>
              <w:rPr>
                <w:i/>
                <w:sz w:val="22"/>
              </w:rPr>
              <w:t>M</w:t>
            </w:r>
            <w:r>
              <w:rPr>
                <w:i/>
                <w:spacing w:val="17"/>
                <w:sz w:val="22"/>
              </w:rPr>
              <w:t> </w:t>
            </w:r>
            <w:r>
              <w:rPr>
                <w:i/>
                <w:spacing w:val="-4"/>
                <w:sz w:val="22"/>
              </w:rPr>
              <w:t>(SD)</w:t>
            </w:r>
          </w:p>
        </w:tc>
        <w:tc>
          <w:tcPr>
            <w:tcW w:w="1860" w:type="dxa"/>
          </w:tcPr>
          <w:p>
            <w:pPr>
              <w:pStyle w:val="TableParagraph"/>
              <w:spacing w:line="242" w:lineRule="exact"/>
              <w:ind w:right="591"/>
              <w:jc w:val="right"/>
              <w:rPr>
                <w:sz w:val="22"/>
              </w:rPr>
            </w:pPr>
            <w:r>
              <w:rPr>
                <w:w w:val="105"/>
                <w:sz w:val="22"/>
              </w:rPr>
              <w:t>4.3</w:t>
            </w:r>
            <w:r>
              <w:rPr>
                <w:spacing w:val="7"/>
                <w:w w:val="105"/>
                <w:sz w:val="22"/>
              </w:rPr>
              <w:t> </w:t>
            </w:r>
            <w:r>
              <w:rPr>
                <w:spacing w:val="-2"/>
                <w:w w:val="105"/>
                <w:sz w:val="22"/>
              </w:rPr>
              <w:t>(3.9)</w:t>
            </w:r>
          </w:p>
        </w:tc>
        <w:tc>
          <w:tcPr>
            <w:tcW w:w="1757" w:type="dxa"/>
          </w:tcPr>
          <w:p>
            <w:pPr>
              <w:pStyle w:val="TableParagraph"/>
              <w:spacing w:line="241" w:lineRule="exact" w:before="1"/>
              <w:ind w:right="248"/>
              <w:jc w:val="right"/>
              <w:rPr>
                <w:sz w:val="22"/>
              </w:rPr>
            </w:pPr>
            <w:r>
              <w:rPr>
                <w:w w:val="105"/>
                <w:sz w:val="22"/>
              </w:rPr>
              <w:t>17.1</w:t>
            </w:r>
            <w:r>
              <w:rPr>
                <w:spacing w:val="-4"/>
                <w:w w:val="105"/>
                <w:sz w:val="22"/>
              </w:rPr>
              <w:t> </w:t>
            </w:r>
            <w:r>
              <w:rPr>
                <w:spacing w:val="-2"/>
                <w:w w:val="105"/>
                <w:sz w:val="22"/>
              </w:rPr>
              <w:t>(9.1)</w:t>
            </w:r>
          </w:p>
        </w:tc>
        <w:tc>
          <w:tcPr>
            <w:tcW w:w="980" w:type="dxa"/>
          </w:tcPr>
          <w:p>
            <w:pPr>
              <w:pStyle w:val="TableParagraph"/>
              <w:spacing w:line="241" w:lineRule="exact" w:before="1"/>
              <w:ind w:left="142" w:right="114"/>
              <w:jc w:val="center"/>
              <w:rPr>
                <w:sz w:val="22"/>
              </w:rPr>
            </w:pPr>
            <w:r>
              <w:rPr>
                <w:spacing w:val="-2"/>
                <w:sz w:val="22"/>
              </w:rPr>
              <w:t>&lt;.001</w:t>
            </w:r>
          </w:p>
        </w:tc>
      </w:tr>
      <w:tr>
        <w:trPr>
          <w:trHeight w:val="261" w:hRule="atLeast"/>
        </w:trPr>
        <w:tc>
          <w:tcPr>
            <w:tcW w:w="3881" w:type="dxa"/>
          </w:tcPr>
          <w:p>
            <w:pPr>
              <w:pStyle w:val="TableParagraph"/>
              <w:spacing w:line="238" w:lineRule="exact" w:before="3"/>
              <w:ind w:left="46"/>
              <w:rPr>
                <w:i/>
                <w:sz w:val="22"/>
              </w:rPr>
            </w:pPr>
            <w:r>
              <w:rPr>
                <w:w w:val="105"/>
                <w:sz w:val="22"/>
              </w:rPr>
              <w:t>Overall</w:t>
            </w:r>
            <w:r>
              <w:rPr>
                <w:spacing w:val="10"/>
                <w:w w:val="105"/>
                <w:sz w:val="22"/>
              </w:rPr>
              <w:t> </w:t>
            </w:r>
            <w:r>
              <w:rPr>
                <w:w w:val="105"/>
                <w:sz w:val="22"/>
              </w:rPr>
              <w:t>leisure</w:t>
            </w:r>
            <w:r>
              <w:rPr>
                <w:spacing w:val="-6"/>
                <w:w w:val="105"/>
                <w:sz w:val="22"/>
              </w:rPr>
              <w:t> </w:t>
            </w:r>
            <w:r>
              <w:rPr>
                <w:w w:val="105"/>
                <w:sz w:val="22"/>
              </w:rPr>
              <w:t>activity</w:t>
            </w:r>
            <w:r>
              <w:rPr>
                <w:spacing w:val="-5"/>
                <w:w w:val="105"/>
                <w:sz w:val="22"/>
              </w:rPr>
              <w:t> </w:t>
            </w:r>
            <w:r>
              <w:rPr>
                <w:w w:val="105"/>
                <w:sz w:val="22"/>
              </w:rPr>
              <w:t>score,</w:t>
            </w:r>
            <w:r>
              <w:rPr>
                <w:spacing w:val="-3"/>
                <w:w w:val="105"/>
                <w:sz w:val="22"/>
              </w:rPr>
              <w:t> </w:t>
            </w:r>
            <w:r>
              <w:rPr>
                <w:i/>
                <w:w w:val="105"/>
                <w:sz w:val="22"/>
              </w:rPr>
              <w:t>M</w:t>
            </w:r>
            <w:r>
              <w:rPr>
                <w:i/>
                <w:spacing w:val="1"/>
                <w:w w:val="105"/>
                <w:sz w:val="22"/>
              </w:rPr>
              <w:t> </w:t>
            </w:r>
            <w:r>
              <w:rPr>
                <w:i/>
                <w:spacing w:val="-4"/>
                <w:w w:val="105"/>
                <w:sz w:val="22"/>
              </w:rPr>
              <w:t>(SD)</w:t>
            </w:r>
          </w:p>
        </w:tc>
        <w:tc>
          <w:tcPr>
            <w:tcW w:w="1860" w:type="dxa"/>
          </w:tcPr>
          <w:p>
            <w:pPr>
              <w:pStyle w:val="TableParagraph"/>
              <w:spacing w:line="242" w:lineRule="exact"/>
              <w:ind w:left="471"/>
              <w:rPr>
                <w:sz w:val="22"/>
              </w:rPr>
            </w:pPr>
            <w:r>
              <w:rPr>
                <w:w w:val="105"/>
                <w:sz w:val="22"/>
              </w:rPr>
              <w:t>2.6</w:t>
            </w:r>
            <w:r>
              <w:rPr>
                <w:spacing w:val="4"/>
                <w:w w:val="105"/>
                <w:sz w:val="22"/>
              </w:rPr>
              <w:t> </w:t>
            </w:r>
            <w:r>
              <w:rPr>
                <w:spacing w:val="-4"/>
                <w:w w:val="105"/>
                <w:sz w:val="22"/>
              </w:rPr>
              <w:t>(.4)</w:t>
            </w:r>
          </w:p>
        </w:tc>
        <w:tc>
          <w:tcPr>
            <w:tcW w:w="1757" w:type="dxa"/>
          </w:tcPr>
          <w:p>
            <w:pPr>
              <w:pStyle w:val="TableParagraph"/>
              <w:spacing w:line="242" w:lineRule="exact"/>
              <w:ind w:left="707"/>
              <w:rPr>
                <w:sz w:val="22"/>
              </w:rPr>
            </w:pPr>
            <w:r>
              <w:rPr>
                <w:w w:val="105"/>
                <w:sz w:val="22"/>
              </w:rPr>
              <w:t>2.3</w:t>
            </w:r>
            <w:r>
              <w:rPr>
                <w:spacing w:val="8"/>
                <w:w w:val="105"/>
                <w:sz w:val="22"/>
              </w:rPr>
              <w:t> </w:t>
            </w:r>
            <w:r>
              <w:rPr>
                <w:spacing w:val="-4"/>
                <w:w w:val="105"/>
                <w:sz w:val="22"/>
              </w:rPr>
              <w:t>(.5)</w:t>
            </w:r>
          </w:p>
        </w:tc>
        <w:tc>
          <w:tcPr>
            <w:tcW w:w="980" w:type="dxa"/>
          </w:tcPr>
          <w:p>
            <w:pPr>
              <w:pStyle w:val="TableParagraph"/>
              <w:spacing w:line="242" w:lineRule="exact"/>
              <w:ind w:left="142" w:right="109"/>
              <w:jc w:val="center"/>
              <w:rPr>
                <w:sz w:val="22"/>
              </w:rPr>
            </w:pPr>
            <w:r>
              <w:rPr>
                <w:spacing w:val="-2"/>
                <w:sz w:val="22"/>
              </w:rPr>
              <w:t>&lt;.001</w:t>
            </w:r>
          </w:p>
        </w:tc>
      </w:tr>
      <w:tr>
        <w:trPr>
          <w:trHeight w:val="261" w:hRule="atLeast"/>
        </w:trPr>
        <w:tc>
          <w:tcPr>
            <w:tcW w:w="3881" w:type="dxa"/>
          </w:tcPr>
          <w:p>
            <w:pPr>
              <w:pStyle w:val="TableParagraph"/>
              <w:spacing w:line="241" w:lineRule="exact" w:before="1"/>
              <w:ind w:left="52"/>
              <w:rPr>
                <w:i/>
                <w:sz w:val="22"/>
              </w:rPr>
            </w:pPr>
            <w:r>
              <w:rPr>
                <w:w w:val="105"/>
                <w:sz w:val="22"/>
              </w:rPr>
              <w:t>Active</w:t>
            </w:r>
            <w:r>
              <w:rPr>
                <w:spacing w:val="1"/>
                <w:w w:val="105"/>
                <w:sz w:val="22"/>
              </w:rPr>
              <w:t> </w:t>
            </w:r>
            <w:r>
              <w:rPr>
                <w:w w:val="105"/>
                <w:sz w:val="22"/>
              </w:rPr>
              <w:t>leisure</w:t>
            </w:r>
            <w:r>
              <w:rPr>
                <w:spacing w:val="-8"/>
                <w:w w:val="105"/>
                <w:sz w:val="22"/>
              </w:rPr>
              <w:t> </w:t>
            </w:r>
            <w:r>
              <w:rPr>
                <w:w w:val="105"/>
                <w:sz w:val="22"/>
              </w:rPr>
              <w:t>activity</w:t>
            </w:r>
            <w:r>
              <w:rPr>
                <w:spacing w:val="3"/>
                <w:w w:val="105"/>
                <w:sz w:val="22"/>
              </w:rPr>
              <w:t> </w:t>
            </w:r>
            <w:r>
              <w:rPr>
                <w:w w:val="105"/>
                <w:sz w:val="22"/>
              </w:rPr>
              <w:t>score,</w:t>
            </w:r>
            <w:r>
              <w:rPr>
                <w:spacing w:val="-5"/>
                <w:w w:val="105"/>
                <w:sz w:val="22"/>
              </w:rPr>
              <w:t> </w:t>
            </w:r>
            <w:r>
              <w:rPr>
                <w:i/>
                <w:w w:val="105"/>
                <w:sz w:val="22"/>
              </w:rPr>
              <w:t>M </w:t>
            </w:r>
            <w:r>
              <w:rPr>
                <w:i/>
                <w:spacing w:val="-4"/>
                <w:w w:val="105"/>
                <w:sz w:val="22"/>
              </w:rPr>
              <w:t>(SD)</w:t>
            </w:r>
          </w:p>
        </w:tc>
        <w:tc>
          <w:tcPr>
            <w:tcW w:w="1860" w:type="dxa"/>
          </w:tcPr>
          <w:p>
            <w:pPr>
              <w:pStyle w:val="TableParagraph"/>
              <w:spacing w:line="242" w:lineRule="exact"/>
              <w:ind w:left="471"/>
              <w:rPr>
                <w:sz w:val="22"/>
              </w:rPr>
            </w:pPr>
            <w:r>
              <w:rPr>
                <w:w w:val="105"/>
                <w:sz w:val="22"/>
              </w:rPr>
              <w:t>2.9</w:t>
            </w:r>
            <w:r>
              <w:rPr>
                <w:spacing w:val="3"/>
                <w:w w:val="105"/>
                <w:sz w:val="22"/>
              </w:rPr>
              <w:t> </w:t>
            </w:r>
            <w:r>
              <w:rPr>
                <w:spacing w:val="-4"/>
                <w:w w:val="105"/>
                <w:sz w:val="22"/>
              </w:rPr>
              <w:t>(.4)</w:t>
            </w:r>
          </w:p>
        </w:tc>
        <w:tc>
          <w:tcPr>
            <w:tcW w:w="1757" w:type="dxa"/>
          </w:tcPr>
          <w:p>
            <w:pPr>
              <w:pStyle w:val="TableParagraph"/>
              <w:spacing w:line="242" w:lineRule="exact"/>
              <w:ind w:left="707"/>
              <w:rPr>
                <w:sz w:val="22"/>
              </w:rPr>
            </w:pPr>
            <w:r>
              <w:rPr>
                <w:w w:val="110"/>
                <w:sz w:val="22"/>
              </w:rPr>
              <w:t>2.4</w:t>
            </w:r>
            <w:r>
              <w:rPr>
                <w:spacing w:val="-13"/>
                <w:w w:val="110"/>
                <w:sz w:val="22"/>
              </w:rPr>
              <w:t> </w:t>
            </w:r>
            <w:r>
              <w:rPr>
                <w:spacing w:val="-4"/>
                <w:w w:val="110"/>
                <w:sz w:val="22"/>
              </w:rPr>
              <w:t>(.6)</w:t>
            </w:r>
          </w:p>
        </w:tc>
        <w:tc>
          <w:tcPr>
            <w:tcW w:w="980" w:type="dxa"/>
          </w:tcPr>
          <w:p>
            <w:pPr>
              <w:pStyle w:val="TableParagraph"/>
              <w:spacing w:line="242" w:lineRule="exact"/>
              <w:ind w:left="142" w:right="109"/>
              <w:jc w:val="center"/>
              <w:rPr>
                <w:sz w:val="22"/>
              </w:rPr>
            </w:pPr>
            <w:r>
              <w:rPr>
                <w:spacing w:val="-2"/>
                <w:sz w:val="22"/>
              </w:rPr>
              <w:t>&lt;.001</w:t>
            </w:r>
          </w:p>
        </w:tc>
      </w:tr>
      <w:tr>
        <w:trPr>
          <w:trHeight w:val="263" w:hRule="atLeast"/>
        </w:trPr>
        <w:tc>
          <w:tcPr>
            <w:tcW w:w="3881" w:type="dxa"/>
            <w:tcBorders>
              <w:bottom w:val="single" w:sz="18" w:space="0" w:color="000000"/>
            </w:tcBorders>
          </w:tcPr>
          <w:p>
            <w:pPr>
              <w:pStyle w:val="TableParagraph"/>
              <w:spacing w:line="240" w:lineRule="exact" w:before="3"/>
              <w:ind w:left="55"/>
              <w:rPr>
                <w:i/>
                <w:sz w:val="22"/>
              </w:rPr>
            </w:pPr>
            <w:r>
              <w:rPr>
                <w:w w:val="105"/>
                <w:sz w:val="22"/>
              </w:rPr>
              <w:t>Passive</w:t>
            </w:r>
            <w:r>
              <w:rPr>
                <w:spacing w:val="6"/>
                <w:w w:val="105"/>
                <w:sz w:val="22"/>
              </w:rPr>
              <w:t> </w:t>
            </w:r>
            <w:r>
              <w:rPr>
                <w:w w:val="105"/>
                <w:sz w:val="22"/>
              </w:rPr>
              <w:t>leisure</w:t>
            </w:r>
            <w:r>
              <w:rPr>
                <w:spacing w:val="-10"/>
                <w:w w:val="105"/>
                <w:sz w:val="22"/>
              </w:rPr>
              <w:t> </w:t>
            </w:r>
            <w:r>
              <w:rPr>
                <w:w w:val="105"/>
                <w:sz w:val="22"/>
              </w:rPr>
              <w:t>activity</w:t>
            </w:r>
            <w:r>
              <w:rPr>
                <w:spacing w:val="-3"/>
                <w:w w:val="105"/>
                <w:sz w:val="22"/>
              </w:rPr>
              <w:t> </w:t>
            </w:r>
            <w:r>
              <w:rPr>
                <w:w w:val="105"/>
                <w:sz w:val="22"/>
              </w:rPr>
              <w:t>score,</w:t>
            </w:r>
            <w:r>
              <w:rPr>
                <w:spacing w:val="-3"/>
                <w:w w:val="105"/>
                <w:sz w:val="22"/>
              </w:rPr>
              <w:t> </w:t>
            </w:r>
            <w:r>
              <w:rPr>
                <w:i/>
                <w:w w:val="105"/>
                <w:sz w:val="22"/>
              </w:rPr>
              <w:t>M</w:t>
            </w:r>
            <w:r>
              <w:rPr>
                <w:i/>
                <w:spacing w:val="-3"/>
                <w:w w:val="105"/>
                <w:sz w:val="22"/>
              </w:rPr>
              <w:t> </w:t>
            </w:r>
            <w:r>
              <w:rPr>
                <w:i/>
                <w:spacing w:val="-4"/>
                <w:w w:val="105"/>
                <w:sz w:val="22"/>
              </w:rPr>
              <w:t>(SD)</w:t>
            </w:r>
          </w:p>
        </w:tc>
        <w:tc>
          <w:tcPr>
            <w:tcW w:w="1860" w:type="dxa"/>
            <w:tcBorders>
              <w:bottom w:val="single" w:sz="18" w:space="0" w:color="000000"/>
            </w:tcBorders>
          </w:tcPr>
          <w:p>
            <w:pPr>
              <w:pStyle w:val="TableParagraph"/>
              <w:spacing w:line="243" w:lineRule="exact"/>
              <w:ind w:left="471"/>
              <w:rPr>
                <w:sz w:val="22"/>
              </w:rPr>
            </w:pPr>
            <w:r>
              <w:rPr>
                <w:w w:val="105"/>
                <w:sz w:val="22"/>
              </w:rPr>
              <w:t>2.3</w:t>
            </w:r>
            <w:r>
              <w:rPr>
                <w:spacing w:val="3"/>
                <w:w w:val="105"/>
                <w:sz w:val="22"/>
              </w:rPr>
              <w:t> </w:t>
            </w:r>
            <w:r>
              <w:rPr>
                <w:spacing w:val="-4"/>
                <w:w w:val="105"/>
                <w:sz w:val="22"/>
              </w:rPr>
              <w:t>(.5)</w:t>
            </w:r>
          </w:p>
        </w:tc>
        <w:tc>
          <w:tcPr>
            <w:tcW w:w="1757" w:type="dxa"/>
            <w:tcBorders>
              <w:bottom w:val="single" w:sz="18" w:space="0" w:color="000000"/>
            </w:tcBorders>
          </w:tcPr>
          <w:p>
            <w:pPr>
              <w:pStyle w:val="TableParagraph"/>
              <w:spacing w:line="243" w:lineRule="exact"/>
              <w:ind w:left="712"/>
              <w:rPr>
                <w:sz w:val="22"/>
              </w:rPr>
            </w:pPr>
            <w:r>
              <w:rPr>
                <w:w w:val="105"/>
                <w:sz w:val="22"/>
              </w:rPr>
              <w:t>2.3</w:t>
            </w:r>
            <w:r>
              <w:rPr>
                <w:spacing w:val="-2"/>
                <w:w w:val="105"/>
                <w:sz w:val="22"/>
              </w:rPr>
              <w:t> </w:t>
            </w:r>
            <w:r>
              <w:rPr>
                <w:spacing w:val="-4"/>
                <w:w w:val="110"/>
                <w:sz w:val="22"/>
              </w:rPr>
              <w:t>(.6)</w:t>
            </w:r>
          </w:p>
        </w:tc>
        <w:tc>
          <w:tcPr>
            <w:tcW w:w="980" w:type="dxa"/>
            <w:tcBorders>
              <w:bottom w:val="single" w:sz="18" w:space="0" w:color="000000"/>
            </w:tcBorders>
          </w:tcPr>
          <w:p>
            <w:pPr>
              <w:pStyle w:val="TableParagraph"/>
              <w:spacing w:line="243" w:lineRule="exact"/>
              <w:ind w:left="142"/>
              <w:jc w:val="center"/>
              <w:rPr>
                <w:sz w:val="22"/>
              </w:rPr>
            </w:pPr>
            <w:r>
              <w:rPr>
                <w:spacing w:val="-4"/>
                <w:w w:val="105"/>
                <w:sz w:val="22"/>
              </w:rPr>
              <w:t>.624</w:t>
            </w:r>
          </w:p>
        </w:tc>
      </w:tr>
    </w:tbl>
    <w:p>
      <w:pPr>
        <w:pStyle w:val="BodyText"/>
        <w:spacing w:line="249" w:lineRule="auto" w:before="6"/>
        <w:ind w:left="474" w:right="155" w:hanging="2"/>
      </w:pPr>
      <w:r>
        <w:rPr>
          <w:i/>
          <w:w w:val="105"/>
        </w:rPr>
        <w:t>Note.</w:t>
      </w:r>
      <w:r>
        <w:rPr>
          <w:i/>
          <w:spacing w:val="-16"/>
          <w:w w:val="105"/>
        </w:rPr>
        <w:t> </w:t>
      </w:r>
      <w:r>
        <w:rPr>
          <w:w w:val="105"/>
        </w:rPr>
        <w:t>p-values are based</w:t>
      </w:r>
      <w:r>
        <w:rPr>
          <w:spacing w:val="19"/>
          <w:w w:val="105"/>
        </w:rPr>
        <w:t> </w:t>
      </w:r>
      <w:r>
        <w:rPr>
          <w:w w:val="105"/>
        </w:rPr>
        <w:t>on</w:t>
      </w:r>
      <w:r>
        <w:rPr>
          <w:spacing w:val="-15"/>
          <w:w w:val="105"/>
        </w:rPr>
        <w:t> </w:t>
      </w:r>
      <w:r>
        <w:rPr>
          <w:w w:val="105"/>
        </w:rPr>
        <w:t>!-tests for</w:t>
      </w:r>
      <w:r>
        <w:rPr>
          <w:spacing w:val="-6"/>
          <w:w w:val="105"/>
        </w:rPr>
        <w:t> </w:t>
      </w:r>
      <w:r>
        <w:rPr>
          <w:w w:val="105"/>
        </w:rPr>
        <w:t>continuous variables and chi-square tests</w:t>
      </w:r>
      <w:r>
        <w:rPr>
          <w:spacing w:val="-2"/>
          <w:w w:val="105"/>
        </w:rPr>
        <w:t> </w:t>
      </w:r>
      <w:r>
        <w:rPr>
          <w:w w:val="105"/>
        </w:rPr>
        <w:t>for nominal variables.</w:t>
      </w:r>
    </w:p>
    <w:p>
      <w:pPr>
        <w:pStyle w:val="BodyText"/>
      </w:pPr>
    </w:p>
    <w:p>
      <w:pPr>
        <w:pStyle w:val="BodyText"/>
        <w:spacing w:before="6"/>
      </w:pPr>
    </w:p>
    <w:p>
      <w:pPr>
        <w:pStyle w:val="BodyText"/>
        <w:ind w:left="316" w:right="25"/>
        <w:jc w:val="center"/>
      </w:pPr>
      <w:r>
        <w:rPr>
          <w:spacing w:val="-2"/>
          <w:w w:val="105"/>
          <w:u w:val="thick"/>
        </w:rPr>
        <w:t>Correlations</w:t>
      </w:r>
    </w:p>
    <w:p>
      <w:pPr>
        <w:pStyle w:val="BodyText"/>
        <w:spacing w:before="18"/>
      </w:pPr>
    </w:p>
    <w:p>
      <w:pPr>
        <w:pStyle w:val="BodyText"/>
        <w:spacing w:line="475" w:lineRule="auto"/>
        <w:ind w:left="465" w:right="210" w:firstLine="702"/>
      </w:pPr>
      <w:r>
        <w:rPr>
          <w:w w:val="105"/>
        </w:rPr>
        <w:t>Bivariate correlations among the variables of interest (pain, depression, and leisure) in the FM group</w:t>
      </w:r>
      <w:r>
        <w:rPr>
          <w:spacing w:val="-9"/>
          <w:w w:val="105"/>
        </w:rPr>
        <w:t> </w:t>
      </w:r>
      <w:r>
        <w:rPr>
          <w:w w:val="105"/>
        </w:rPr>
        <w:t>are listed in</w:t>
      </w:r>
      <w:r>
        <w:rPr>
          <w:spacing w:val="-3"/>
          <w:w w:val="105"/>
        </w:rPr>
        <w:t> </w:t>
      </w:r>
      <w:r>
        <w:rPr>
          <w:w w:val="105"/>
        </w:rPr>
        <w:t>Table 2.</w:t>
      </w:r>
      <w:r>
        <w:rPr>
          <w:spacing w:val="-9"/>
          <w:w w:val="105"/>
        </w:rPr>
        <w:t> </w:t>
      </w:r>
      <w:r>
        <w:rPr>
          <w:w w:val="105"/>
        </w:rPr>
        <w:t>There</w:t>
      </w:r>
      <w:r>
        <w:rPr>
          <w:spacing w:val="-3"/>
          <w:w w:val="105"/>
        </w:rPr>
        <w:t> </w:t>
      </w:r>
      <w:r>
        <w:rPr>
          <w:w w:val="105"/>
        </w:rPr>
        <w:t>was</w:t>
      </w:r>
      <w:r>
        <w:rPr>
          <w:spacing w:val="-9"/>
          <w:w w:val="105"/>
        </w:rPr>
        <w:t> </w:t>
      </w:r>
      <w:r>
        <w:rPr>
          <w:w w:val="105"/>
        </w:rPr>
        <w:t>a</w:t>
      </w:r>
      <w:r>
        <w:rPr>
          <w:spacing w:val="-8"/>
          <w:w w:val="105"/>
        </w:rPr>
        <w:t> </w:t>
      </w:r>
      <w:r>
        <w:rPr>
          <w:w w:val="105"/>
        </w:rPr>
        <w:t>significant correlation</w:t>
      </w:r>
      <w:r>
        <w:rPr>
          <w:spacing w:val="20"/>
          <w:w w:val="105"/>
        </w:rPr>
        <w:t> </w:t>
      </w:r>
      <w:r>
        <w:rPr>
          <w:w w:val="105"/>
        </w:rPr>
        <w:t>between "pain</w:t>
      </w:r>
      <w:r>
        <w:rPr>
          <w:spacing w:val="20"/>
          <w:w w:val="105"/>
        </w:rPr>
        <w:t> </w:t>
      </w:r>
      <w:r>
        <w:rPr>
          <w:w w:val="105"/>
        </w:rPr>
        <w:t>in the past week"</w:t>
      </w:r>
      <w:r>
        <w:rPr>
          <w:spacing w:val="-6"/>
          <w:w w:val="105"/>
        </w:rPr>
        <w:t> </w:t>
      </w:r>
      <w:r>
        <w:rPr>
          <w:w w:val="105"/>
        </w:rPr>
        <w:t>and</w:t>
      </w:r>
      <w:r>
        <w:rPr>
          <w:spacing w:val="23"/>
          <w:w w:val="105"/>
        </w:rPr>
        <w:t> </w:t>
      </w:r>
      <w:r>
        <w:rPr>
          <w:w w:val="105"/>
        </w:rPr>
        <w:t>BDI-11</w:t>
      </w:r>
      <w:r>
        <w:rPr>
          <w:spacing w:val="-8"/>
          <w:w w:val="105"/>
        </w:rPr>
        <w:t> </w:t>
      </w:r>
      <w:r>
        <w:rPr>
          <w:w w:val="105"/>
        </w:rPr>
        <w:t>score</w:t>
      </w:r>
      <w:r>
        <w:rPr>
          <w:spacing w:val="-14"/>
          <w:w w:val="105"/>
        </w:rPr>
        <w:t> </w:t>
      </w:r>
      <w:r>
        <w:rPr>
          <w:rFonts w:ascii="Arial"/>
          <w:i/>
          <w:w w:val="105"/>
          <w:sz w:val="20"/>
        </w:rPr>
        <w:t>(r</w:t>
      </w:r>
      <w:r>
        <w:rPr>
          <w:rFonts w:ascii="Arial"/>
          <w:i/>
          <w:spacing w:val="39"/>
          <w:w w:val="105"/>
          <w:sz w:val="20"/>
        </w:rPr>
        <w:t> </w:t>
      </w:r>
      <w:r>
        <w:rPr>
          <w:w w:val="105"/>
          <w:sz w:val="26"/>
        </w:rPr>
        <w:t>=</w:t>
      </w:r>
      <w:r>
        <w:rPr>
          <w:spacing w:val="-10"/>
          <w:w w:val="105"/>
          <w:sz w:val="26"/>
        </w:rPr>
        <w:t> </w:t>
      </w:r>
      <w:r>
        <w:rPr>
          <w:w w:val="105"/>
        </w:rPr>
        <w:t>.26,</w:t>
      </w:r>
      <w:r>
        <w:rPr>
          <w:spacing w:val="-21"/>
          <w:w w:val="105"/>
        </w:rPr>
        <w:t> </w:t>
      </w:r>
      <w:r>
        <w:rPr>
          <w:rFonts w:ascii="Arial"/>
          <w:i/>
          <w:w w:val="105"/>
          <w:sz w:val="21"/>
        </w:rPr>
        <w:t>p </w:t>
      </w:r>
      <w:r>
        <w:rPr>
          <w:w w:val="105"/>
          <w:sz w:val="26"/>
        </w:rPr>
        <w:t>=</w:t>
      </w:r>
      <w:r>
        <w:rPr>
          <w:spacing w:val="-15"/>
          <w:w w:val="105"/>
          <w:sz w:val="26"/>
        </w:rPr>
        <w:t> </w:t>
      </w:r>
      <w:r>
        <w:rPr>
          <w:w w:val="105"/>
        </w:rPr>
        <w:t>.03</w:t>
      </w:r>
      <w:r>
        <w:rPr>
          <w:spacing w:val="-27"/>
          <w:w w:val="105"/>
        </w:rPr>
        <w:t> </w:t>
      </w:r>
      <w:r>
        <w:rPr>
          <w:w w:val="105"/>
        </w:rPr>
        <w:t>l</w:t>
      </w:r>
      <w:r>
        <w:rPr>
          <w:spacing w:val="-23"/>
          <w:w w:val="105"/>
        </w:rPr>
        <w:t> </w:t>
      </w:r>
      <w:r>
        <w:rPr>
          <w:w w:val="105"/>
        </w:rPr>
        <w:t>), as</w:t>
      </w:r>
      <w:r>
        <w:rPr>
          <w:spacing w:val="-5"/>
          <w:w w:val="105"/>
        </w:rPr>
        <w:t> </w:t>
      </w:r>
      <w:r>
        <w:rPr>
          <w:w w:val="105"/>
        </w:rPr>
        <w:t>well as</w:t>
      </w:r>
      <w:r>
        <w:rPr>
          <w:spacing w:val="-12"/>
          <w:w w:val="105"/>
        </w:rPr>
        <w:t> </w:t>
      </w:r>
      <w:r>
        <w:rPr>
          <w:w w:val="105"/>
        </w:rPr>
        <w:t>"pain</w:t>
      </w:r>
      <w:r>
        <w:rPr>
          <w:spacing w:val="22"/>
          <w:w w:val="105"/>
        </w:rPr>
        <w:t> </w:t>
      </w:r>
      <w:r>
        <w:rPr>
          <w:w w:val="105"/>
        </w:rPr>
        <w:t>in</w:t>
      </w:r>
      <w:r>
        <w:rPr>
          <w:spacing w:val="20"/>
          <w:w w:val="105"/>
        </w:rPr>
        <w:t> </w:t>
      </w:r>
      <w:r>
        <w:rPr>
          <w:w w:val="105"/>
        </w:rPr>
        <w:t>past 4</w:t>
      </w:r>
    </w:p>
    <w:p>
      <w:pPr>
        <w:pStyle w:val="BodyText"/>
        <w:spacing w:line="221" w:lineRule="exact"/>
        <w:ind w:left="474"/>
      </w:pPr>
      <w:r>
        <w:rPr>
          <w:w w:val="105"/>
        </w:rPr>
        <w:t>weeks"</w:t>
      </w:r>
      <w:r>
        <w:rPr>
          <w:spacing w:val="-9"/>
          <w:w w:val="105"/>
        </w:rPr>
        <w:t> </w:t>
      </w:r>
      <w:r>
        <w:rPr>
          <w:w w:val="105"/>
        </w:rPr>
        <w:t>and</w:t>
      </w:r>
      <w:r>
        <w:rPr>
          <w:spacing w:val="13"/>
          <w:w w:val="105"/>
        </w:rPr>
        <w:t> </w:t>
      </w:r>
      <w:r>
        <w:rPr>
          <w:w w:val="105"/>
        </w:rPr>
        <w:t>BDI-11</w:t>
      </w:r>
      <w:r>
        <w:rPr>
          <w:spacing w:val="-9"/>
          <w:w w:val="105"/>
        </w:rPr>
        <w:t> </w:t>
      </w:r>
      <w:r>
        <w:rPr>
          <w:w w:val="105"/>
        </w:rPr>
        <w:t>score</w:t>
      </w:r>
      <w:r>
        <w:rPr>
          <w:spacing w:val="-10"/>
          <w:w w:val="105"/>
        </w:rPr>
        <w:t> </w:t>
      </w:r>
      <w:r>
        <w:rPr>
          <w:rFonts w:ascii="Arial"/>
          <w:i/>
          <w:w w:val="105"/>
          <w:sz w:val="20"/>
        </w:rPr>
        <w:t>(r</w:t>
      </w:r>
      <w:r>
        <w:rPr>
          <w:rFonts w:ascii="Arial"/>
          <w:i/>
          <w:spacing w:val="29"/>
          <w:w w:val="105"/>
          <w:sz w:val="20"/>
        </w:rPr>
        <w:t> </w:t>
      </w:r>
      <w:r>
        <w:rPr>
          <w:w w:val="105"/>
        </w:rPr>
        <w:t>=</w:t>
      </w:r>
      <w:r>
        <w:rPr>
          <w:spacing w:val="-11"/>
          <w:w w:val="105"/>
        </w:rPr>
        <w:t> </w:t>
      </w:r>
      <w:r>
        <w:rPr>
          <w:w w:val="105"/>
        </w:rPr>
        <w:t>.42,</w:t>
      </w:r>
      <w:r>
        <w:rPr>
          <w:spacing w:val="1"/>
          <w:w w:val="105"/>
        </w:rPr>
        <w:t> </w:t>
      </w:r>
      <w:r>
        <w:rPr>
          <w:i/>
          <w:w w:val="105"/>
        </w:rPr>
        <w:t>p</w:t>
      </w:r>
      <w:r>
        <w:rPr>
          <w:i/>
          <w:spacing w:val="-8"/>
          <w:w w:val="105"/>
        </w:rPr>
        <w:t> </w:t>
      </w:r>
      <w:r>
        <w:rPr>
          <w:w w:val="105"/>
        </w:rPr>
        <w:t>&lt;</w:t>
      </w:r>
      <w:r>
        <w:rPr>
          <w:spacing w:val="-10"/>
          <w:w w:val="105"/>
        </w:rPr>
        <w:t> </w:t>
      </w:r>
      <w:r>
        <w:rPr>
          <w:w w:val="105"/>
        </w:rPr>
        <w:t>.001).</w:t>
      </w:r>
      <w:r>
        <w:rPr>
          <w:spacing w:val="41"/>
          <w:w w:val="105"/>
        </w:rPr>
        <w:t> </w:t>
      </w:r>
      <w:r>
        <w:rPr>
          <w:w w:val="105"/>
        </w:rPr>
        <w:t>Specifically,</w:t>
      </w:r>
      <w:r>
        <w:rPr>
          <w:spacing w:val="7"/>
          <w:w w:val="105"/>
        </w:rPr>
        <w:t> </w:t>
      </w:r>
      <w:r>
        <w:rPr>
          <w:w w:val="105"/>
        </w:rPr>
        <w:t>a</w:t>
      </w:r>
      <w:r>
        <w:rPr>
          <w:spacing w:val="-2"/>
          <w:w w:val="105"/>
        </w:rPr>
        <w:t> </w:t>
      </w:r>
      <w:r>
        <w:rPr>
          <w:w w:val="105"/>
        </w:rPr>
        <w:t>higher</w:t>
      </w:r>
      <w:r>
        <w:rPr>
          <w:spacing w:val="12"/>
          <w:w w:val="105"/>
        </w:rPr>
        <w:t> </w:t>
      </w:r>
      <w:r>
        <w:rPr>
          <w:w w:val="105"/>
        </w:rPr>
        <w:t>level</w:t>
      </w:r>
      <w:r>
        <w:rPr>
          <w:spacing w:val="2"/>
          <w:w w:val="105"/>
        </w:rPr>
        <w:t> </w:t>
      </w:r>
      <w:r>
        <w:rPr>
          <w:w w:val="105"/>
        </w:rPr>
        <w:t>of</w:t>
      </w:r>
      <w:r>
        <w:rPr>
          <w:spacing w:val="1"/>
          <w:w w:val="105"/>
        </w:rPr>
        <w:t> </w:t>
      </w:r>
      <w:r>
        <w:rPr>
          <w:w w:val="105"/>
        </w:rPr>
        <w:t>pain</w:t>
      </w:r>
      <w:r>
        <w:rPr>
          <w:spacing w:val="6"/>
          <w:w w:val="105"/>
        </w:rPr>
        <w:t> </w:t>
      </w:r>
      <w:r>
        <w:rPr>
          <w:spacing w:val="-5"/>
          <w:w w:val="105"/>
        </w:rPr>
        <w:t>was</w:t>
      </w:r>
    </w:p>
    <w:p>
      <w:pPr>
        <w:pStyle w:val="BodyText"/>
        <w:spacing w:before="18"/>
      </w:pPr>
    </w:p>
    <w:p>
      <w:pPr>
        <w:pStyle w:val="BodyText"/>
        <w:spacing w:line="494" w:lineRule="auto"/>
        <w:ind w:left="472" w:right="296"/>
      </w:pPr>
      <w:r>
        <w:rPr>
          <w:w w:val="105"/>
        </w:rPr>
        <w:t>associated</w:t>
      </w:r>
      <w:r>
        <w:rPr>
          <w:w w:val="105"/>
        </w:rPr>
        <w:t> with more severe levels of depression. However, the</w:t>
      </w:r>
      <w:r>
        <w:rPr>
          <w:spacing w:val="-2"/>
          <w:w w:val="105"/>
        </w:rPr>
        <w:t> </w:t>
      </w:r>
      <w:r>
        <w:rPr>
          <w:w w:val="105"/>
        </w:rPr>
        <w:t>effect sizes in these correlations were weak, where only 7% and 18%</w:t>
      </w:r>
      <w:r>
        <w:rPr>
          <w:spacing w:val="-2"/>
          <w:w w:val="105"/>
        </w:rPr>
        <w:t> </w:t>
      </w:r>
      <w:r>
        <w:rPr>
          <w:w w:val="105"/>
        </w:rPr>
        <w:t>(respectively) of</w:t>
      </w:r>
      <w:r>
        <w:rPr>
          <w:spacing w:val="-3"/>
          <w:w w:val="105"/>
        </w:rPr>
        <w:t> </w:t>
      </w:r>
      <w:r>
        <w:rPr>
          <w:w w:val="105"/>
        </w:rPr>
        <w:t>the variance was explained. There were no significant correlations detected</w:t>
      </w:r>
      <w:r>
        <w:rPr>
          <w:spacing w:val="37"/>
          <w:w w:val="105"/>
        </w:rPr>
        <w:t> </w:t>
      </w:r>
      <w:r>
        <w:rPr>
          <w:w w:val="105"/>
        </w:rPr>
        <w:t>between</w:t>
      </w:r>
      <w:r>
        <w:rPr>
          <w:w w:val="105"/>
        </w:rPr>
        <w:t> leisure activity variables and either pain or depression variables. In the non-FM group, there was</w:t>
      </w:r>
      <w:r>
        <w:rPr>
          <w:spacing w:val="-8"/>
          <w:w w:val="105"/>
        </w:rPr>
        <w:t> </w:t>
      </w:r>
      <w:r>
        <w:rPr>
          <w:w w:val="105"/>
        </w:rPr>
        <w:t>a similar association</w:t>
      </w:r>
      <w:r>
        <w:rPr>
          <w:spacing w:val="40"/>
          <w:w w:val="105"/>
        </w:rPr>
        <w:t> </w:t>
      </w:r>
      <w:r>
        <w:rPr>
          <w:w w:val="105"/>
        </w:rPr>
        <w:t>between</w:t>
      </w:r>
      <w:r>
        <w:rPr>
          <w:w w:val="105"/>
        </w:rPr>
        <w:t> the pain variable and depressive symptoms. Specifically, there</w:t>
      </w:r>
      <w:r>
        <w:rPr>
          <w:spacing w:val="-3"/>
          <w:w w:val="105"/>
        </w:rPr>
        <w:t> </w:t>
      </w:r>
      <w:r>
        <w:rPr>
          <w:w w:val="105"/>
        </w:rPr>
        <w:t>was</w:t>
      </w:r>
      <w:r>
        <w:rPr>
          <w:spacing w:val="-5"/>
          <w:w w:val="105"/>
        </w:rPr>
        <w:t> </w:t>
      </w:r>
      <w:r>
        <w:rPr>
          <w:w w:val="105"/>
        </w:rPr>
        <w:t>a</w:t>
      </w:r>
      <w:r>
        <w:rPr>
          <w:spacing w:val="-14"/>
          <w:w w:val="105"/>
        </w:rPr>
        <w:t> </w:t>
      </w:r>
      <w:r>
        <w:rPr>
          <w:w w:val="105"/>
        </w:rPr>
        <w:t>significant correlation</w:t>
      </w:r>
      <w:r>
        <w:rPr>
          <w:w w:val="105"/>
        </w:rPr>
        <w:t> between</w:t>
      </w:r>
      <w:r>
        <w:rPr>
          <w:spacing w:val="-3"/>
          <w:w w:val="105"/>
        </w:rPr>
        <w:t> </w:t>
      </w:r>
      <w:r>
        <w:rPr>
          <w:w w:val="105"/>
        </w:rPr>
        <w:t>"pain</w:t>
      </w:r>
      <w:r>
        <w:rPr>
          <w:w w:val="105"/>
        </w:rPr>
        <w:t> in</w:t>
      </w:r>
      <w:r>
        <w:rPr>
          <w:spacing w:val="-1"/>
          <w:w w:val="105"/>
        </w:rPr>
        <w:t> </w:t>
      </w:r>
      <w:r>
        <w:rPr>
          <w:w w:val="105"/>
        </w:rPr>
        <w:t>the past</w:t>
      </w:r>
      <w:r>
        <w:rPr>
          <w:spacing w:val="-1"/>
          <w:w w:val="105"/>
        </w:rPr>
        <w:t> </w:t>
      </w:r>
      <w:r>
        <w:rPr>
          <w:w w:val="105"/>
        </w:rPr>
        <w:t>week"</w:t>
      </w:r>
      <w:r>
        <w:rPr>
          <w:spacing w:val="-9"/>
          <w:w w:val="105"/>
        </w:rPr>
        <w:t> </w:t>
      </w:r>
      <w:r>
        <w:rPr>
          <w:w w:val="105"/>
        </w:rPr>
        <w:t>and BDI-11</w:t>
      </w:r>
      <w:r>
        <w:rPr>
          <w:spacing w:val="-15"/>
          <w:w w:val="105"/>
        </w:rPr>
        <w:t> </w:t>
      </w:r>
      <w:r>
        <w:rPr>
          <w:w w:val="105"/>
        </w:rPr>
        <w:t>score</w:t>
      </w:r>
      <w:r>
        <w:rPr>
          <w:spacing w:val="-14"/>
          <w:w w:val="105"/>
        </w:rPr>
        <w:t> </w:t>
      </w:r>
      <w:r>
        <w:rPr>
          <w:rFonts w:ascii="Arial"/>
          <w:i/>
          <w:w w:val="105"/>
          <w:sz w:val="20"/>
        </w:rPr>
        <w:t>(r</w:t>
      </w:r>
      <w:r>
        <w:rPr>
          <w:rFonts w:ascii="Arial"/>
          <w:i/>
          <w:spacing w:val="18"/>
          <w:w w:val="105"/>
          <w:sz w:val="20"/>
        </w:rPr>
        <w:t> </w:t>
      </w:r>
      <w:r>
        <w:rPr>
          <w:w w:val="105"/>
        </w:rPr>
        <w:t>=</w:t>
      </w:r>
    </w:p>
    <w:p>
      <w:pPr>
        <w:spacing w:before="2"/>
        <w:ind w:left="487" w:right="0" w:firstLine="0"/>
        <w:jc w:val="left"/>
        <w:rPr>
          <w:sz w:val="22"/>
        </w:rPr>
      </w:pPr>
      <w:r>
        <w:rPr>
          <w:i/>
          <w:w w:val="110"/>
          <w:sz w:val="22"/>
        </w:rPr>
        <w:t>.45,p</w:t>
      </w:r>
      <w:r>
        <w:rPr>
          <w:i/>
          <w:spacing w:val="9"/>
          <w:w w:val="110"/>
          <w:sz w:val="22"/>
        </w:rPr>
        <w:t> </w:t>
      </w:r>
      <w:r>
        <w:rPr>
          <w:w w:val="110"/>
          <w:sz w:val="22"/>
        </w:rPr>
        <w:t>&lt;</w:t>
      </w:r>
      <w:r>
        <w:rPr>
          <w:spacing w:val="3"/>
          <w:w w:val="110"/>
          <w:sz w:val="22"/>
        </w:rPr>
        <w:t> </w:t>
      </w:r>
      <w:r>
        <w:rPr>
          <w:spacing w:val="-2"/>
          <w:w w:val="110"/>
          <w:sz w:val="22"/>
        </w:rPr>
        <w:t>.001).</w:t>
      </w:r>
    </w:p>
    <w:p>
      <w:pPr>
        <w:spacing w:after="0"/>
        <w:jc w:val="left"/>
        <w:rPr>
          <w:sz w:val="22"/>
        </w:rPr>
        <w:sectPr>
          <w:headerReference w:type="default" r:id="rId32"/>
          <w:pgSz w:w="12430" w:h="15750"/>
          <w:pgMar w:header="1034" w:footer="0" w:top="1620" w:bottom="280" w:left="1760" w:right="1660"/>
        </w:sectPr>
      </w:pPr>
    </w:p>
    <w:p>
      <w:pPr>
        <w:pStyle w:val="BodyText"/>
        <w:spacing w:line="204" w:lineRule="auto" w:before="115"/>
        <w:ind w:left="483" w:right="297" w:hanging="11"/>
      </w:pPr>
      <w:r>
        <w:rPr>
          <w:w w:val="105"/>
        </w:rPr>
        <w:t>Table</w:t>
      </w:r>
      <w:r>
        <w:rPr>
          <w:spacing w:val="-2"/>
          <w:w w:val="105"/>
        </w:rPr>
        <w:t> </w:t>
      </w:r>
      <w:r>
        <w:rPr>
          <w:w w:val="105"/>
        </w:rPr>
        <w:t>2.</w:t>
      </w:r>
      <w:r>
        <w:rPr>
          <w:spacing w:val="-13"/>
          <w:w w:val="105"/>
        </w:rPr>
        <w:t> </w:t>
      </w:r>
      <w:r>
        <w:rPr>
          <w:w w:val="105"/>
        </w:rPr>
        <w:t>Correlations</w:t>
      </w:r>
      <w:r>
        <w:rPr>
          <w:spacing w:val="20"/>
          <w:w w:val="105"/>
        </w:rPr>
        <w:t> </w:t>
      </w:r>
      <w:r>
        <w:rPr>
          <w:w w:val="105"/>
        </w:rPr>
        <w:t>between test variables for FM group</w:t>
      </w:r>
      <w:r>
        <w:rPr>
          <w:spacing w:val="-5"/>
          <w:w w:val="105"/>
        </w:rPr>
        <w:t> </w:t>
      </w:r>
      <w:r>
        <w:rPr>
          <w:w w:val="105"/>
        </w:rPr>
        <w:t>(above</w:t>
      </w:r>
      <w:r>
        <w:rPr>
          <w:spacing w:val="-1"/>
          <w:w w:val="105"/>
        </w:rPr>
        <w:t> </w:t>
      </w:r>
      <w:r>
        <w:rPr>
          <w:w w:val="105"/>
        </w:rPr>
        <w:t>diagonal; </w:t>
      </w:r>
      <w:r>
        <w:rPr>
          <w:i/>
          <w:w w:val="105"/>
        </w:rPr>
        <w:t>N</w:t>
      </w:r>
      <w:r>
        <w:rPr>
          <w:i/>
          <w:spacing w:val="-2"/>
          <w:w w:val="105"/>
        </w:rPr>
        <w:t> </w:t>
      </w:r>
      <w:r>
        <w:rPr>
          <w:w w:val="105"/>
          <w:sz w:val="26"/>
        </w:rPr>
        <w:t>=</w:t>
      </w:r>
      <w:r>
        <w:rPr>
          <w:spacing w:val="-13"/>
          <w:w w:val="105"/>
          <w:sz w:val="26"/>
        </w:rPr>
        <w:t> </w:t>
      </w:r>
      <w:r>
        <w:rPr>
          <w:w w:val="105"/>
        </w:rPr>
        <w:t>70)</w:t>
      </w:r>
      <w:r>
        <w:rPr>
          <w:spacing w:val="-10"/>
          <w:w w:val="105"/>
        </w:rPr>
        <w:t> </w:t>
      </w:r>
      <w:r>
        <w:rPr>
          <w:w w:val="105"/>
        </w:rPr>
        <w:t>and non-FM group (below diagonal; </w:t>
      </w:r>
      <w:r>
        <w:rPr>
          <w:i/>
          <w:w w:val="105"/>
        </w:rPr>
        <w:t>N </w:t>
      </w:r>
      <w:r>
        <w:rPr>
          <w:w w:val="105"/>
          <w:sz w:val="26"/>
        </w:rPr>
        <w:t>= </w:t>
      </w:r>
      <w:r>
        <w:rPr>
          <w:w w:val="105"/>
        </w:rPr>
        <w:t>76)</w:t>
      </w:r>
    </w:p>
    <w:p>
      <w:pPr>
        <w:pStyle w:val="BodyText"/>
        <w:spacing w:before="21"/>
        <w:rPr>
          <w:sz w:val="20"/>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5"/>
        <w:gridCol w:w="1185"/>
        <w:gridCol w:w="1496"/>
        <w:gridCol w:w="1244"/>
        <w:gridCol w:w="1343"/>
        <w:gridCol w:w="1383"/>
        <w:gridCol w:w="1051"/>
      </w:tblGrid>
      <w:tr>
        <w:trPr>
          <w:trHeight w:val="746" w:hRule="atLeast"/>
        </w:trPr>
        <w:tc>
          <w:tcPr>
            <w:tcW w:w="705" w:type="dxa"/>
            <w:tcBorders>
              <w:top w:val="single" w:sz="4" w:space="0" w:color="000000"/>
              <w:bottom w:val="single" w:sz="18" w:space="0" w:color="000000"/>
            </w:tcBorders>
          </w:tcPr>
          <w:p>
            <w:pPr>
              <w:pStyle w:val="TableParagraph"/>
              <w:rPr>
                <w:sz w:val="22"/>
              </w:rPr>
            </w:pPr>
          </w:p>
        </w:tc>
        <w:tc>
          <w:tcPr>
            <w:tcW w:w="1185" w:type="dxa"/>
            <w:tcBorders>
              <w:top w:val="single" w:sz="4" w:space="0" w:color="000000"/>
              <w:bottom w:val="single" w:sz="18" w:space="0" w:color="000000"/>
            </w:tcBorders>
          </w:tcPr>
          <w:p>
            <w:pPr>
              <w:pStyle w:val="TableParagraph"/>
              <w:spacing w:line="247" w:lineRule="auto" w:before="20"/>
              <w:ind w:left="2" w:right="231"/>
              <w:rPr>
                <w:sz w:val="22"/>
              </w:rPr>
            </w:pPr>
            <w:r>
              <w:rPr>
                <w:sz w:val="22"/>
              </w:rPr>
              <w:t>Pain in past</w:t>
            </w:r>
            <w:r>
              <w:rPr>
                <w:spacing w:val="-6"/>
                <w:sz w:val="22"/>
              </w:rPr>
              <w:t> </w:t>
            </w:r>
            <w:r>
              <w:rPr>
                <w:sz w:val="22"/>
              </w:rPr>
              <w:t>week</w:t>
            </w:r>
          </w:p>
        </w:tc>
        <w:tc>
          <w:tcPr>
            <w:tcW w:w="1496" w:type="dxa"/>
            <w:tcBorders>
              <w:top w:val="single" w:sz="4" w:space="0" w:color="000000"/>
              <w:bottom w:val="single" w:sz="18" w:space="0" w:color="000000"/>
            </w:tcBorders>
          </w:tcPr>
          <w:p>
            <w:pPr>
              <w:pStyle w:val="TableParagraph"/>
              <w:spacing w:before="20"/>
              <w:ind w:left="264"/>
              <w:rPr>
                <w:sz w:val="22"/>
              </w:rPr>
            </w:pPr>
            <w:r>
              <w:rPr>
                <w:sz w:val="22"/>
              </w:rPr>
              <w:t>Pain</w:t>
            </w:r>
            <w:r>
              <w:rPr>
                <w:spacing w:val="30"/>
                <w:sz w:val="22"/>
              </w:rPr>
              <w:t> </w:t>
            </w:r>
            <w:r>
              <w:rPr>
                <w:spacing w:val="-5"/>
                <w:sz w:val="22"/>
              </w:rPr>
              <w:t>in</w:t>
            </w:r>
          </w:p>
          <w:p>
            <w:pPr>
              <w:pStyle w:val="TableParagraph"/>
              <w:spacing w:before="7"/>
              <w:ind w:left="206"/>
              <w:rPr>
                <w:sz w:val="22"/>
              </w:rPr>
            </w:pPr>
            <w:r>
              <w:rPr>
                <w:w w:val="105"/>
                <w:sz w:val="22"/>
              </w:rPr>
              <w:t>past</w:t>
            </w:r>
            <w:r>
              <w:rPr>
                <w:spacing w:val="-1"/>
                <w:w w:val="105"/>
                <w:sz w:val="22"/>
              </w:rPr>
              <w:t> </w:t>
            </w:r>
            <w:r>
              <w:rPr>
                <w:w w:val="105"/>
                <w:sz w:val="22"/>
              </w:rPr>
              <w:t>4</w:t>
            </w:r>
            <w:r>
              <w:rPr>
                <w:spacing w:val="-4"/>
                <w:w w:val="105"/>
                <w:sz w:val="22"/>
              </w:rPr>
              <w:t> </w:t>
            </w:r>
            <w:r>
              <w:rPr>
                <w:spacing w:val="-2"/>
                <w:w w:val="105"/>
                <w:sz w:val="22"/>
              </w:rPr>
              <w:t>weeks</w:t>
            </w:r>
          </w:p>
        </w:tc>
        <w:tc>
          <w:tcPr>
            <w:tcW w:w="1244" w:type="dxa"/>
            <w:tcBorders>
              <w:top w:val="single" w:sz="4" w:space="0" w:color="000000"/>
              <w:bottom w:val="single" w:sz="18" w:space="0" w:color="000000"/>
            </w:tcBorders>
          </w:tcPr>
          <w:p>
            <w:pPr>
              <w:pStyle w:val="TableParagraph"/>
              <w:spacing w:before="20"/>
              <w:ind w:left="110"/>
              <w:rPr>
                <w:sz w:val="22"/>
              </w:rPr>
            </w:pPr>
            <w:r>
              <w:rPr>
                <w:spacing w:val="-6"/>
                <w:sz w:val="22"/>
              </w:rPr>
              <w:t>BDl-</w:t>
            </w:r>
            <w:r>
              <w:rPr>
                <w:spacing w:val="-5"/>
                <w:sz w:val="22"/>
              </w:rPr>
              <w:t>11</w:t>
            </w:r>
          </w:p>
        </w:tc>
        <w:tc>
          <w:tcPr>
            <w:tcW w:w="1343" w:type="dxa"/>
            <w:tcBorders>
              <w:top w:val="single" w:sz="4" w:space="0" w:color="000000"/>
              <w:bottom w:val="single" w:sz="18" w:space="0" w:color="000000"/>
            </w:tcBorders>
          </w:tcPr>
          <w:p>
            <w:pPr>
              <w:pStyle w:val="TableParagraph"/>
              <w:spacing w:line="247" w:lineRule="auto" w:before="20"/>
              <w:ind w:left="329" w:hanging="11"/>
              <w:rPr>
                <w:sz w:val="22"/>
              </w:rPr>
            </w:pPr>
            <w:r>
              <w:rPr>
                <w:spacing w:val="-2"/>
                <w:sz w:val="22"/>
              </w:rPr>
              <w:t>Overall </w:t>
            </w:r>
            <w:r>
              <w:rPr>
                <w:spacing w:val="-2"/>
                <w:w w:val="105"/>
                <w:sz w:val="22"/>
              </w:rPr>
              <w:t>leisure</w:t>
            </w:r>
          </w:p>
        </w:tc>
        <w:tc>
          <w:tcPr>
            <w:tcW w:w="1383" w:type="dxa"/>
            <w:tcBorders>
              <w:top w:val="single" w:sz="4" w:space="0" w:color="000000"/>
              <w:bottom w:val="single" w:sz="18" w:space="0" w:color="000000"/>
            </w:tcBorders>
          </w:tcPr>
          <w:p>
            <w:pPr>
              <w:pStyle w:val="TableParagraph"/>
              <w:spacing w:line="249" w:lineRule="auto" w:before="20"/>
              <w:ind w:left="337" w:right="424" w:hanging="10"/>
              <w:rPr>
                <w:sz w:val="22"/>
              </w:rPr>
            </w:pPr>
            <w:r>
              <w:rPr>
                <w:spacing w:val="-2"/>
                <w:w w:val="105"/>
                <w:sz w:val="22"/>
              </w:rPr>
              <w:t>Active leisure</w:t>
            </w:r>
          </w:p>
        </w:tc>
        <w:tc>
          <w:tcPr>
            <w:tcW w:w="1051" w:type="dxa"/>
            <w:tcBorders>
              <w:top w:val="single" w:sz="4" w:space="0" w:color="000000"/>
              <w:bottom w:val="single" w:sz="18" w:space="0" w:color="000000"/>
            </w:tcBorders>
          </w:tcPr>
          <w:p>
            <w:pPr>
              <w:pStyle w:val="TableParagraph"/>
              <w:spacing w:line="249" w:lineRule="auto" w:before="20"/>
              <w:ind w:left="362" w:right="-8" w:hanging="2"/>
              <w:rPr>
                <w:sz w:val="22"/>
              </w:rPr>
            </w:pPr>
            <w:r>
              <w:rPr>
                <w:spacing w:val="-2"/>
                <w:w w:val="105"/>
                <w:sz w:val="22"/>
              </w:rPr>
              <w:t>Passive leisure</w:t>
            </w:r>
          </w:p>
        </w:tc>
      </w:tr>
      <w:tr>
        <w:trPr>
          <w:trHeight w:val="282" w:hRule="atLeast"/>
        </w:trPr>
        <w:tc>
          <w:tcPr>
            <w:tcW w:w="705" w:type="dxa"/>
            <w:tcBorders>
              <w:top w:val="single" w:sz="18" w:space="0" w:color="000000"/>
            </w:tcBorders>
          </w:tcPr>
          <w:p>
            <w:pPr>
              <w:pStyle w:val="TableParagraph"/>
              <w:spacing w:line="250" w:lineRule="exact" w:before="12"/>
              <w:ind w:right="40"/>
              <w:jc w:val="center"/>
              <w:rPr>
                <w:sz w:val="22"/>
              </w:rPr>
            </w:pPr>
            <w:r>
              <w:rPr>
                <w:sz w:val="22"/>
              </w:rPr>
              <w:t>Pain</w:t>
            </w:r>
            <w:r>
              <w:rPr>
                <w:spacing w:val="25"/>
                <w:sz w:val="22"/>
              </w:rPr>
              <w:t> </w:t>
            </w:r>
            <w:r>
              <w:rPr>
                <w:spacing w:val="-5"/>
                <w:sz w:val="22"/>
              </w:rPr>
              <w:t>in</w:t>
            </w:r>
          </w:p>
        </w:tc>
        <w:tc>
          <w:tcPr>
            <w:tcW w:w="1185" w:type="dxa"/>
            <w:tcBorders>
              <w:top w:val="single" w:sz="18" w:space="0" w:color="000000"/>
            </w:tcBorders>
          </w:tcPr>
          <w:p>
            <w:pPr>
              <w:pStyle w:val="TableParagraph"/>
              <w:rPr>
                <w:sz w:val="20"/>
              </w:rPr>
            </w:pPr>
          </w:p>
        </w:tc>
        <w:tc>
          <w:tcPr>
            <w:tcW w:w="1496" w:type="dxa"/>
            <w:tcBorders>
              <w:top w:val="single" w:sz="18" w:space="0" w:color="000000"/>
            </w:tcBorders>
          </w:tcPr>
          <w:p>
            <w:pPr>
              <w:pStyle w:val="TableParagraph"/>
              <w:spacing w:line="250" w:lineRule="exact" w:before="12"/>
              <w:ind w:left="315"/>
              <w:rPr>
                <w:sz w:val="22"/>
              </w:rPr>
            </w:pPr>
            <w:r>
              <w:rPr>
                <w:spacing w:val="-2"/>
                <w:w w:val="105"/>
                <w:sz w:val="22"/>
              </w:rPr>
              <w:t>.659***</w:t>
            </w:r>
          </w:p>
        </w:tc>
        <w:tc>
          <w:tcPr>
            <w:tcW w:w="1244" w:type="dxa"/>
            <w:tcBorders>
              <w:top w:val="single" w:sz="18" w:space="0" w:color="000000"/>
            </w:tcBorders>
          </w:tcPr>
          <w:p>
            <w:pPr>
              <w:pStyle w:val="TableParagraph"/>
              <w:spacing w:line="250" w:lineRule="exact" w:before="12"/>
              <w:ind w:left="223"/>
              <w:rPr>
                <w:sz w:val="22"/>
              </w:rPr>
            </w:pPr>
            <w:r>
              <w:rPr>
                <w:spacing w:val="-2"/>
                <w:w w:val="105"/>
                <w:sz w:val="22"/>
              </w:rPr>
              <w:t>.259*</w:t>
            </w:r>
          </w:p>
        </w:tc>
        <w:tc>
          <w:tcPr>
            <w:tcW w:w="1343" w:type="dxa"/>
            <w:tcBorders>
              <w:top w:val="single" w:sz="18" w:space="0" w:color="000000"/>
            </w:tcBorders>
          </w:tcPr>
          <w:p>
            <w:pPr>
              <w:pStyle w:val="TableParagraph"/>
              <w:spacing w:line="250" w:lineRule="exact" w:before="12"/>
              <w:ind w:left="264"/>
              <w:rPr>
                <w:sz w:val="22"/>
              </w:rPr>
            </w:pPr>
            <w:r>
              <w:rPr>
                <w:w w:val="105"/>
                <w:sz w:val="22"/>
              </w:rPr>
              <w:t>-</w:t>
            </w:r>
            <w:r>
              <w:rPr>
                <w:spacing w:val="-4"/>
                <w:w w:val="105"/>
                <w:sz w:val="22"/>
              </w:rPr>
              <w:t>.016</w:t>
            </w:r>
          </w:p>
        </w:tc>
        <w:tc>
          <w:tcPr>
            <w:tcW w:w="1383" w:type="dxa"/>
            <w:tcBorders>
              <w:top w:val="single" w:sz="18" w:space="0" w:color="000000"/>
            </w:tcBorders>
          </w:tcPr>
          <w:p>
            <w:pPr>
              <w:pStyle w:val="TableParagraph"/>
              <w:spacing w:line="246" w:lineRule="exact" w:before="17"/>
              <w:ind w:left="325"/>
              <w:rPr>
                <w:sz w:val="22"/>
              </w:rPr>
            </w:pPr>
            <w:r>
              <w:rPr>
                <w:w w:val="105"/>
                <w:sz w:val="22"/>
              </w:rPr>
              <w:t>-</w:t>
            </w:r>
            <w:r>
              <w:rPr>
                <w:spacing w:val="-4"/>
                <w:w w:val="105"/>
                <w:sz w:val="22"/>
              </w:rPr>
              <w:t>.075</w:t>
            </w:r>
          </w:p>
        </w:tc>
        <w:tc>
          <w:tcPr>
            <w:tcW w:w="1051" w:type="dxa"/>
            <w:tcBorders>
              <w:top w:val="single" w:sz="18" w:space="0" w:color="000000"/>
            </w:tcBorders>
          </w:tcPr>
          <w:p>
            <w:pPr>
              <w:pStyle w:val="TableParagraph"/>
              <w:spacing w:line="241" w:lineRule="exact" w:before="22"/>
              <w:ind w:left="178"/>
              <w:jc w:val="center"/>
              <w:rPr>
                <w:sz w:val="22"/>
              </w:rPr>
            </w:pPr>
            <w:r>
              <w:rPr>
                <w:spacing w:val="-4"/>
                <w:w w:val="105"/>
                <w:sz w:val="22"/>
              </w:rPr>
              <w:t>.056</w:t>
            </w:r>
          </w:p>
        </w:tc>
      </w:tr>
      <w:tr>
        <w:trPr>
          <w:trHeight w:val="643" w:hRule="atLeast"/>
        </w:trPr>
        <w:tc>
          <w:tcPr>
            <w:tcW w:w="705" w:type="dxa"/>
          </w:tcPr>
          <w:p>
            <w:pPr>
              <w:pStyle w:val="TableParagraph"/>
              <w:ind w:left="8" w:right="-9" w:firstLine="2"/>
              <w:rPr>
                <w:sz w:val="22"/>
              </w:rPr>
            </w:pPr>
            <w:r>
              <w:rPr>
                <w:spacing w:val="-4"/>
                <w:sz w:val="22"/>
              </w:rPr>
              <w:t>past week</w:t>
            </w:r>
          </w:p>
        </w:tc>
        <w:tc>
          <w:tcPr>
            <w:tcW w:w="1185" w:type="dxa"/>
          </w:tcPr>
          <w:p>
            <w:pPr>
              <w:pStyle w:val="TableParagraph"/>
              <w:rPr>
                <w:sz w:val="22"/>
              </w:rPr>
            </w:pPr>
          </w:p>
        </w:tc>
        <w:tc>
          <w:tcPr>
            <w:tcW w:w="1496" w:type="dxa"/>
          </w:tcPr>
          <w:p>
            <w:pPr>
              <w:pStyle w:val="TableParagraph"/>
              <w:rPr>
                <w:sz w:val="22"/>
              </w:rPr>
            </w:pPr>
          </w:p>
        </w:tc>
        <w:tc>
          <w:tcPr>
            <w:tcW w:w="1244" w:type="dxa"/>
          </w:tcPr>
          <w:p>
            <w:pPr>
              <w:pStyle w:val="TableParagraph"/>
              <w:rPr>
                <w:sz w:val="22"/>
              </w:rPr>
            </w:pPr>
          </w:p>
        </w:tc>
        <w:tc>
          <w:tcPr>
            <w:tcW w:w="1343" w:type="dxa"/>
          </w:tcPr>
          <w:p>
            <w:pPr>
              <w:pStyle w:val="TableParagraph"/>
              <w:rPr>
                <w:sz w:val="22"/>
              </w:rPr>
            </w:pPr>
          </w:p>
        </w:tc>
        <w:tc>
          <w:tcPr>
            <w:tcW w:w="1383" w:type="dxa"/>
          </w:tcPr>
          <w:p>
            <w:pPr>
              <w:pStyle w:val="TableParagraph"/>
              <w:rPr>
                <w:sz w:val="22"/>
              </w:rPr>
            </w:pPr>
          </w:p>
        </w:tc>
        <w:tc>
          <w:tcPr>
            <w:tcW w:w="1051" w:type="dxa"/>
          </w:tcPr>
          <w:p>
            <w:pPr>
              <w:pStyle w:val="TableParagraph"/>
              <w:rPr>
                <w:sz w:val="22"/>
              </w:rPr>
            </w:pPr>
          </w:p>
        </w:tc>
      </w:tr>
      <w:tr>
        <w:trPr>
          <w:trHeight w:val="398" w:hRule="atLeast"/>
        </w:trPr>
        <w:tc>
          <w:tcPr>
            <w:tcW w:w="705" w:type="dxa"/>
          </w:tcPr>
          <w:p>
            <w:pPr>
              <w:pStyle w:val="TableParagraph"/>
              <w:spacing w:line="241" w:lineRule="exact" w:before="138"/>
              <w:ind w:right="35"/>
              <w:jc w:val="center"/>
              <w:rPr>
                <w:sz w:val="22"/>
              </w:rPr>
            </w:pPr>
            <w:r>
              <w:rPr>
                <w:sz w:val="22"/>
              </w:rPr>
              <w:t>Pain</w:t>
            </w:r>
            <w:r>
              <w:rPr>
                <w:spacing w:val="25"/>
                <w:sz w:val="22"/>
              </w:rPr>
              <w:t> </w:t>
            </w:r>
            <w:r>
              <w:rPr>
                <w:spacing w:val="-5"/>
                <w:sz w:val="22"/>
              </w:rPr>
              <w:t>in</w:t>
            </w:r>
          </w:p>
        </w:tc>
        <w:tc>
          <w:tcPr>
            <w:tcW w:w="1185" w:type="dxa"/>
          </w:tcPr>
          <w:p>
            <w:pPr>
              <w:pStyle w:val="TableParagraph"/>
              <w:spacing w:line="246" w:lineRule="exact" w:before="133"/>
              <w:ind w:left="236"/>
              <w:rPr>
                <w:sz w:val="22"/>
              </w:rPr>
            </w:pPr>
            <w:r>
              <w:rPr>
                <w:spacing w:val="-2"/>
                <w:w w:val="105"/>
                <w:sz w:val="22"/>
              </w:rPr>
              <w:t>.765***</w:t>
            </w:r>
          </w:p>
        </w:tc>
        <w:tc>
          <w:tcPr>
            <w:tcW w:w="1496" w:type="dxa"/>
          </w:tcPr>
          <w:p>
            <w:pPr>
              <w:pStyle w:val="TableParagraph"/>
              <w:rPr>
                <w:sz w:val="22"/>
              </w:rPr>
            </w:pPr>
          </w:p>
        </w:tc>
        <w:tc>
          <w:tcPr>
            <w:tcW w:w="1244" w:type="dxa"/>
          </w:tcPr>
          <w:p>
            <w:pPr>
              <w:pStyle w:val="TableParagraph"/>
              <w:spacing w:line="250" w:lineRule="exact" w:before="128"/>
              <w:ind w:left="223"/>
              <w:rPr>
                <w:sz w:val="22"/>
              </w:rPr>
            </w:pPr>
            <w:r>
              <w:rPr>
                <w:spacing w:val="-2"/>
                <w:w w:val="105"/>
                <w:sz w:val="22"/>
              </w:rPr>
              <w:t>.424***</w:t>
            </w:r>
          </w:p>
        </w:tc>
        <w:tc>
          <w:tcPr>
            <w:tcW w:w="1343" w:type="dxa"/>
          </w:tcPr>
          <w:p>
            <w:pPr>
              <w:pStyle w:val="TableParagraph"/>
              <w:spacing w:line="246" w:lineRule="exact" w:before="133"/>
              <w:ind w:left="267"/>
              <w:rPr>
                <w:sz w:val="22"/>
              </w:rPr>
            </w:pPr>
            <w:r>
              <w:rPr>
                <w:spacing w:val="-4"/>
                <w:w w:val="105"/>
                <w:sz w:val="22"/>
              </w:rPr>
              <w:t>.016</w:t>
            </w:r>
          </w:p>
        </w:tc>
        <w:tc>
          <w:tcPr>
            <w:tcW w:w="1383" w:type="dxa"/>
          </w:tcPr>
          <w:p>
            <w:pPr>
              <w:pStyle w:val="TableParagraph"/>
              <w:spacing w:line="241" w:lineRule="exact" w:before="138"/>
              <w:ind w:left="325"/>
              <w:rPr>
                <w:sz w:val="22"/>
              </w:rPr>
            </w:pPr>
            <w:r>
              <w:rPr>
                <w:w w:val="105"/>
                <w:sz w:val="22"/>
              </w:rPr>
              <w:t>-</w:t>
            </w:r>
            <w:r>
              <w:rPr>
                <w:spacing w:val="-4"/>
                <w:w w:val="105"/>
                <w:sz w:val="22"/>
              </w:rPr>
              <w:t>.053</w:t>
            </w:r>
          </w:p>
        </w:tc>
        <w:tc>
          <w:tcPr>
            <w:tcW w:w="1051" w:type="dxa"/>
          </w:tcPr>
          <w:p>
            <w:pPr>
              <w:pStyle w:val="TableParagraph"/>
              <w:spacing w:line="246" w:lineRule="exact" w:before="133"/>
              <w:ind w:left="174"/>
              <w:jc w:val="center"/>
              <w:rPr>
                <w:sz w:val="22"/>
              </w:rPr>
            </w:pPr>
            <w:r>
              <w:rPr>
                <w:spacing w:val="-4"/>
                <w:sz w:val="22"/>
              </w:rPr>
              <w:t>.091</w:t>
            </w:r>
          </w:p>
        </w:tc>
      </w:tr>
      <w:tr>
        <w:trPr>
          <w:trHeight w:val="261" w:hRule="atLeast"/>
        </w:trPr>
        <w:tc>
          <w:tcPr>
            <w:tcW w:w="705" w:type="dxa"/>
          </w:tcPr>
          <w:p>
            <w:pPr>
              <w:pStyle w:val="TableParagraph"/>
              <w:spacing w:line="242" w:lineRule="exact"/>
              <w:ind w:right="137"/>
              <w:jc w:val="center"/>
              <w:rPr>
                <w:sz w:val="22"/>
              </w:rPr>
            </w:pPr>
            <w:r>
              <w:rPr>
                <w:w w:val="105"/>
                <w:sz w:val="22"/>
              </w:rPr>
              <w:t>past</w:t>
            </w:r>
            <w:r>
              <w:rPr>
                <w:spacing w:val="-10"/>
                <w:w w:val="105"/>
                <w:sz w:val="22"/>
              </w:rPr>
              <w:t> 4</w:t>
            </w:r>
          </w:p>
        </w:tc>
        <w:tc>
          <w:tcPr>
            <w:tcW w:w="1185" w:type="dxa"/>
          </w:tcPr>
          <w:p>
            <w:pPr>
              <w:pStyle w:val="TableParagraph"/>
              <w:rPr>
                <w:sz w:val="18"/>
              </w:rPr>
            </w:pPr>
          </w:p>
        </w:tc>
        <w:tc>
          <w:tcPr>
            <w:tcW w:w="1496" w:type="dxa"/>
          </w:tcPr>
          <w:p>
            <w:pPr>
              <w:pStyle w:val="TableParagraph"/>
              <w:rPr>
                <w:sz w:val="18"/>
              </w:rPr>
            </w:pPr>
          </w:p>
        </w:tc>
        <w:tc>
          <w:tcPr>
            <w:tcW w:w="1244" w:type="dxa"/>
          </w:tcPr>
          <w:p>
            <w:pPr>
              <w:pStyle w:val="TableParagraph"/>
              <w:rPr>
                <w:sz w:val="18"/>
              </w:rPr>
            </w:pPr>
          </w:p>
        </w:tc>
        <w:tc>
          <w:tcPr>
            <w:tcW w:w="1343" w:type="dxa"/>
          </w:tcPr>
          <w:p>
            <w:pPr>
              <w:pStyle w:val="TableParagraph"/>
              <w:rPr>
                <w:sz w:val="18"/>
              </w:rPr>
            </w:pPr>
          </w:p>
        </w:tc>
        <w:tc>
          <w:tcPr>
            <w:tcW w:w="1383" w:type="dxa"/>
          </w:tcPr>
          <w:p>
            <w:pPr>
              <w:pStyle w:val="TableParagraph"/>
              <w:rPr>
                <w:sz w:val="18"/>
              </w:rPr>
            </w:pPr>
          </w:p>
        </w:tc>
        <w:tc>
          <w:tcPr>
            <w:tcW w:w="1051" w:type="dxa"/>
          </w:tcPr>
          <w:p>
            <w:pPr>
              <w:pStyle w:val="TableParagraph"/>
              <w:rPr>
                <w:sz w:val="18"/>
              </w:rPr>
            </w:pPr>
          </w:p>
        </w:tc>
      </w:tr>
      <w:tr>
        <w:trPr>
          <w:trHeight w:val="389" w:hRule="atLeast"/>
        </w:trPr>
        <w:tc>
          <w:tcPr>
            <w:tcW w:w="705" w:type="dxa"/>
          </w:tcPr>
          <w:p>
            <w:pPr>
              <w:pStyle w:val="TableParagraph"/>
              <w:spacing w:before="1"/>
              <w:ind w:right="118"/>
              <w:jc w:val="center"/>
              <w:rPr>
                <w:sz w:val="22"/>
              </w:rPr>
            </w:pPr>
            <w:r>
              <w:rPr>
                <w:spacing w:val="-4"/>
                <w:w w:val="105"/>
                <w:sz w:val="22"/>
              </w:rPr>
              <w:t>weeks</w:t>
            </w:r>
          </w:p>
        </w:tc>
        <w:tc>
          <w:tcPr>
            <w:tcW w:w="1185" w:type="dxa"/>
          </w:tcPr>
          <w:p>
            <w:pPr>
              <w:pStyle w:val="TableParagraph"/>
              <w:rPr>
                <w:sz w:val="22"/>
              </w:rPr>
            </w:pPr>
          </w:p>
        </w:tc>
        <w:tc>
          <w:tcPr>
            <w:tcW w:w="1496" w:type="dxa"/>
          </w:tcPr>
          <w:p>
            <w:pPr>
              <w:pStyle w:val="TableParagraph"/>
              <w:rPr>
                <w:sz w:val="22"/>
              </w:rPr>
            </w:pPr>
          </w:p>
        </w:tc>
        <w:tc>
          <w:tcPr>
            <w:tcW w:w="1244" w:type="dxa"/>
          </w:tcPr>
          <w:p>
            <w:pPr>
              <w:pStyle w:val="TableParagraph"/>
              <w:rPr>
                <w:sz w:val="22"/>
              </w:rPr>
            </w:pPr>
          </w:p>
        </w:tc>
        <w:tc>
          <w:tcPr>
            <w:tcW w:w="1343" w:type="dxa"/>
          </w:tcPr>
          <w:p>
            <w:pPr>
              <w:pStyle w:val="TableParagraph"/>
              <w:rPr>
                <w:sz w:val="22"/>
              </w:rPr>
            </w:pPr>
          </w:p>
        </w:tc>
        <w:tc>
          <w:tcPr>
            <w:tcW w:w="1383" w:type="dxa"/>
          </w:tcPr>
          <w:p>
            <w:pPr>
              <w:pStyle w:val="TableParagraph"/>
              <w:rPr>
                <w:sz w:val="22"/>
              </w:rPr>
            </w:pPr>
          </w:p>
        </w:tc>
        <w:tc>
          <w:tcPr>
            <w:tcW w:w="1051" w:type="dxa"/>
          </w:tcPr>
          <w:p>
            <w:pPr>
              <w:pStyle w:val="TableParagraph"/>
              <w:rPr>
                <w:sz w:val="22"/>
              </w:rPr>
            </w:pPr>
          </w:p>
        </w:tc>
      </w:tr>
      <w:tr>
        <w:trPr>
          <w:trHeight w:val="519" w:hRule="atLeast"/>
        </w:trPr>
        <w:tc>
          <w:tcPr>
            <w:tcW w:w="705" w:type="dxa"/>
          </w:tcPr>
          <w:p>
            <w:pPr>
              <w:pStyle w:val="TableParagraph"/>
              <w:spacing w:before="131"/>
              <w:ind w:right="55"/>
              <w:jc w:val="center"/>
              <w:rPr>
                <w:sz w:val="22"/>
              </w:rPr>
            </w:pPr>
            <w:r>
              <w:rPr>
                <w:w w:val="90"/>
                <w:sz w:val="22"/>
              </w:rPr>
              <w:t>BDI-</w:t>
            </w:r>
            <w:r>
              <w:rPr>
                <w:spacing w:val="-5"/>
                <w:sz w:val="22"/>
              </w:rPr>
              <w:t>11</w:t>
            </w:r>
          </w:p>
        </w:tc>
        <w:tc>
          <w:tcPr>
            <w:tcW w:w="1185" w:type="dxa"/>
          </w:tcPr>
          <w:p>
            <w:pPr>
              <w:pStyle w:val="TableParagraph"/>
              <w:spacing w:before="126"/>
              <w:ind w:left="231"/>
              <w:rPr>
                <w:sz w:val="22"/>
              </w:rPr>
            </w:pPr>
            <w:r>
              <w:rPr>
                <w:spacing w:val="-2"/>
                <w:w w:val="105"/>
                <w:sz w:val="22"/>
              </w:rPr>
              <w:t>.451***</w:t>
            </w:r>
          </w:p>
        </w:tc>
        <w:tc>
          <w:tcPr>
            <w:tcW w:w="1496" w:type="dxa"/>
          </w:tcPr>
          <w:p>
            <w:pPr>
              <w:pStyle w:val="TableParagraph"/>
              <w:spacing w:before="131"/>
              <w:ind w:left="320"/>
              <w:rPr>
                <w:sz w:val="22"/>
              </w:rPr>
            </w:pPr>
            <w:r>
              <w:rPr>
                <w:spacing w:val="-2"/>
                <w:w w:val="105"/>
                <w:sz w:val="22"/>
              </w:rPr>
              <w:t>.317**</w:t>
            </w:r>
          </w:p>
        </w:tc>
        <w:tc>
          <w:tcPr>
            <w:tcW w:w="1244" w:type="dxa"/>
          </w:tcPr>
          <w:p>
            <w:pPr>
              <w:pStyle w:val="TableParagraph"/>
              <w:rPr>
                <w:sz w:val="22"/>
              </w:rPr>
            </w:pPr>
          </w:p>
        </w:tc>
        <w:tc>
          <w:tcPr>
            <w:tcW w:w="1343" w:type="dxa"/>
          </w:tcPr>
          <w:p>
            <w:pPr>
              <w:pStyle w:val="TableParagraph"/>
              <w:spacing w:before="131"/>
              <w:ind w:left="264"/>
              <w:rPr>
                <w:sz w:val="22"/>
              </w:rPr>
            </w:pPr>
            <w:r>
              <w:rPr>
                <w:w w:val="105"/>
                <w:sz w:val="22"/>
              </w:rPr>
              <w:t>-</w:t>
            </w:r>
            <w:r>
              <w:rPr>
                <w:spacing w:val="-4"/>
                <w:w w:val="105"/>
                <w:sz w:val="22"/>
              </w:rPr>
              <w:t>.125</w:t>
            </w:r>
          </w:p>
        </w:tc>
        <w:tc>
          <w:tcPr>
            <w:tcW w:w="1383" w:type="dxa"/>
          </w:tcPr>
          <w:p>
            <w:pPr>
              <w:pStyle w:val="TableParagraph"/>
              <w:spacing w:before="131"/>
              <w:ind w:left="325"/>
              <w:rPr>
                <w:sz w:val="22"/>
              </w:rPr>
            </w:pPr>
            <w:r>
              <w:rPr>
                <w:w w:val="105"/>
                <w:sz w:val="22"/>
              </w:rPr>
              <w:t>-</w:t>
            </w:r>
            <w:r>
              <w:rPr>
                <w:spacing w:val="-4"/>
                <w:w w:val="105"/>
                <w:sz w:val="22"/>
              </w:rPr>
              <w:t>.206</w:t>
            </w:r>
          </w:p>
        </w:tc>
        <w:tc>
          <w:tcPr>
            <w:tcW w:w="1051" w:type="dxa"/>
          </w:tcPr>
          <w:p>
            <w:pPr>
              <w:pStyle w:val="TableParagraph"/>
              <w:spacing w:before="131"/>
              <w:ind w:left="176"/>
              <w:jc w:val="center"/>
              <w:rPr>
                <w:sz w:val="22"/>
              </w:rPr>
            </w:pPr>
            <w:r>
              <w:rPr>
                <w:spacing w:val="-4"/>
                <w:w w:val="105"/>
                <w:sz w:val="22"/>
              </w:rPr>
              <w:t>.013</w:t>
            </w:r>
          </w:p>
        </w:tc>
      </w:tr>
      <w:tr>
        <w:trPr>
          <w:trHeight w:val="398" w:hRule="atLeast"/>
        </w:trPr>
        <w:tc>
          <w:tcPr>
            <w:tcW w:w="705" w:type="dxa"/>
          </w:tcPr>
          <w:p>
            <w:pPr>
              <w:pStyle w:val="TableParagraph"/>
              <w:spacing w:line="243" w:lineRule="exact" w:before="135"/>
              <w:ind w:right="20"/>
              <w:jc w:val="center"/>
              <w:rPr>
                <w:sz w:val="22"/>
              </w:rPr>
            </w:pPr>
            <w:r>
              <w:rPr>
                <w:spacing w:val="-2"/>
                <w:sz w:val="22"/>
              </w:rPr>
              <w:t>Overall</w:t>
            </w:r>
          </w:p>
        </w:tc>
        <w:tc>
          <w:tcPr>
            <w:tcW w:w="1185" w:type="dxa"/>
          </w:tcPr>
          <w:p>
            <w:pPr>
              <w:pStyle w:val="TableParagraph"/>
              <w:spacing w:line="243" w:lineRule="exact" w:before="135"/>
              <w:ind w:left="236"/>
              <w:rPr>
                <w:sz w:val="22"/>
              </w:rPr>
            </w:pPr>
            <w:r>
              <w:rPr>
                <w:spacing w:val="-4"/>
                <w:w w:val="105"/>
                <w:sz w:val="22"/>
              </w:rPr>
              <w:t>.023</w:t>
            </w:r>
          </w:p>
        </w:tc>
        <w:tc>
          <w:tcPr>
            <w:tcW w:w="1496" w:type="dxa"/>
          </w:tcPr>
          <w:p>
            <w:pPr>
              <w:pStyle w:val="TableParagraph"/>
              <w:spacing w:line="248" w:lineRule="exact" w:before="131"/>
              <w:ind w:left="320"/>
              <w:rPr>
                <w:sz w:val="22"/>
              </w:rPr>
            </w:pPr>
            <w:r>
              <w:rPr>
                <w:spacing w:val="-4"/>
                <w:w w:val="105"/>
                <w:sz w:val="22"/>
              </w:rPr>
              <w:t>.088</w:t>
            </w:r>
          </w:p>
        </w:tc>
        <w:tc>
          <w:tcPr>
            <w:tcW w:w="1244" w:type="dxa"/>
          </w:tcPr>
          <w:p>
            <w:pPr>
              <w:pStyle w:val="TableParagraph"/>
              <w:spacing w:line="248" w:lineRule="exact" w:before="131"/>
              <w:ind w:left="104"/>
              <w:rPr>
                <w:sz w:val="22"/>
              </w:rPr>
            </w:pPr>
            <w:r>
              <w:rPr>
                <w:w w:val="105"/>
                <w:sz w:val="22"/>
              </w:rPr>
              <w:t>-</w:t>
            </w:r>
            <w:r>
              <w:rPr>
                <w:spacing w:val="-4"/>
                <w:w w:val="105"/>
                <w:sz w:val="22"/>
              </w:rPr>
              <w:t>.208</w:t>
            </w:r>
          </w:p>
        </w:tc>
        <w:tc>
          <w:tcPr>
            <w:tcW w:w="1343" w:type="dxa"/>
          </w:tcPr>
          <w:p>
            <w:pPr>
              <w:pStyle w:val="TableParagraph"/>
              <w:rPr>
                <w:sz w:val="22"/>
              </w:rPr>
            </w:pPr>
          </w:p>
        </w:tc>
        <w:tc>
          <w:tcPr>
            <w:tcW w:w="1383" w:type="dxa"/>
          </w:tcPr>
          <w:p>
            <w:pPr>
              <w:pStyle w:val="TableParagraph"/>
              <w:spacing w:line="248" w:lineRule="exact" w:before="131"/>
              <w:ind w:left="328"/>
              <w:rPr>
                <w:sz w:val="22"/>
              </w:rPr>
            </w:pPr>
            <w:r>
              <w:rPr>
                <w:spacing w:val="-2"/>
                <w:w w:val="105"/>
                <w:sz w:val="22"/>
              </w:rPr>
              <w:t>.881***</w:t>
            </w:r>
          </w:p>
        </w:tc>
        <w:tc>
          <w:tcPr>
            <w:tcW w:w="1051" w:type="dxa"/>
          </w:tcPr>
          <w:p>
            <w:pPr>
              <w:pStyle w:val="TableParagraph"/>
              <w:spacing w:before="126"/>
              <w:ind w:left="286"/>
              <w:jc w:val="center"/>
              <w:rPr>
                <w:sz w:val="22"/>
              </w:rPr>
            </w:pPr>
            <w:r>
              <w:rPr>
                <w:spacing w:val="-2"/>
                <w:w w:val="105"/>
                <w:sz w:val="22"/>
              </w:rPr>
              <w:t>.793***</w:t>
            </w:r>
          </w:p>
        </w:tc>
      </w:tr>
      <w:tr>
        <w:trPr>
          <w:trHeight w:val="386" w:hRule="atLeast"/>
        </w:trPr>
        <w:tc>
          <w:tcPr>
            <w:tcW w:w="705" w:type="dxa"/>
          </w:tcPr>
          <w:p>
            <w:pPr>
              <w:pStyle w:val="TableParagraph"/>
              <w:spacing w:before="1"/>
              <w:ind w:right="68"/>
              <w:jc w:val="center"/>
              <w:rPr>
                <w:sz w:val="22"/>
              </w:rPr>
            </w:pPr>
            <w:r>
              <w:rPr>
                <w:spacing w:val="-2"/>
                <w:w w:val="105"/>
                <w:sz w:val="22"/>
              </w:rPr>
              <w:t>leisure</w:t>
            </w:r>
          </w:p>
        </w:tc>
        <w:tc>
          <w:tcPr>
            <w:tcW w:w="1185" w:type="dxa"/>
          </w:tcPr>
          <w:p>
            <w:pPr>
              <w:pStyle w:val="TableParagraph"/>
              <w:rPr>
                <w:sz w:val="22"/>
              </w:rPr>
            </w:pPr>
          </w:p>
        </w:tc>
        <w:tc>
          <w:tcPr>
            <w:tcW w:w="1496" w:type="dxa"/>
          </w:tcPr>
          <w:p>
            <w:pPr>
              <w:pStyle w:val="TableParagraph"/>
              <w:rPr>
                <w:sz w:val="22"/>
              </w:rPr>
            </w:pPr>
          </w:p>
        </w:tc>
        <w:tc>
          <w:tcPr>
            <w:tcW w:w="1244" w:type="dxa"/>
          </w:tcPr>
          <w:p>
            <w:pPr>
              <w:pStyle w:val="TableParagraph"/>
              <w:rPr>
                <w:sz w:val="22"/>
              </w:rPr>
            </w:pPr>
          </w:p>
        </w:tc>
        <w:tc>
          <w:tcPr>
            <w:tcW w:w="1343" w:type="dxa"/>
          </w:tcPr>
          <w:p>
            <w:pPr>
              <w:pStyle w:val="TableParagraph"/>
              <w:rPr>
                <w:sz w:val="22"/>
              </w:rPr>
            </w:pPr>
          </w:p>
        </w:tc>
        <w:tc>
          <w:tcPr>
            <w:tcW w:w="1383" w:type="dxa"/>
          </w:tcPr>
          <w:p>
            <w:pPr>
              <w:pStyle w:val="TableParagraph"/>
              <w:rPr>
                <w:sz w:val="22"/>
              </w:rPr>
            </w:pPr>
          </w:p>
        </w:tc>
        <w:tc>
          <w:tcPr>
            <w:tcW w:w="1051" w:type="dxa"/>
          </w:tcPr>
          <w:p>
            <w:pPr>
              <w:pStyle w:val="TableParagraph"/>
              <w:rPr>
                <w:sz w:val="22"/>
              </w:rPr>
            </w:pPr>
          </w:p>
        </w:tc>
      </w:tr>
      <w:tr>
        <w:trPr>
          <w:trHeight w:val="396" w:hRule="atLeast"/>
        </w:trPr>
        <w:tc>
          <w:tcPr>
            <w:tcW w:w="705" w:type="dxa"/>
          </w:tcPr>
          <w:p>
            <w:pPr>
              <w:pStyle w:val="TableParagraph"/>
              <w:spacing w:line="243" w:lineRule="exact" w:before="133"/>
              <w:ind w:right="68"/>
              <w:jc w:val="center"/>
              <w:rPr>
                <w:sz w:val="22"/>
              </w:rPr>
            </w:pPr>
            <w:r>
              <w:rPr>
                <w:spacing w:val="-2"/>
                <w:w w:val="105"/>
                <w:sz w:val="22"/>
              </w:rPr>
              <w:t>Active</w:t>
            </w:r>
          </w:p>
        </w:tc>
        <w:tc>
          <w:tcPr>
            <w:tcW w:w="1185" w:type="dxa"/>
          </w:tcPr>
          <w:p>
            <w:pPr>
              <w:pStyle w:val="TableParagraph"/>
              <w:spacing w:line="243" w:lineRule="exact" w:before="133"/>
              <w:ind w:left="236"/>
              <w:rPr>
                <w:sz w:val="22"/>
              </w:rPr>
            </w:pPr>
            <w:r>
              <w:rPr>
                <w:spacing w:val="-4"/>
                <w:w w:val="105"/>
                <w:sz w:val="22"/>
              </w:rPr>
              <w:t>.101</w:t>
            </w:r>
          </w:p>
        </w:tc>
        <w:tc>
          <w:tcPr>
            <w:tcW w:w="1496" w:type="dxa"/>
          </w:tcPr>
          <w:p>
            <w:pPr>
              <w:pStyle w:val="TableParagraph"/>
              <w:spacing w:line="248" w:lineRule="exact" w:before="128"/>
              <w:ind w:left="324"/>
              <w:rPr>
                <w:sz w:val="22"/>
              </w:rPr>
            </w:pPr>
            <w:r>
              <w:rPr>
                <w:spacing w:val="-4"/>
                <w:w w:val="105"/>
                <w:sz w:val="22"/>
              </w:rPr>
              <w:t>.126</w:t>
            </w:r>
          </w:p>
        </w:tc>
        <w:tc>
          <w:tcPr>
            <w:tcW w:w="1244" w:type="dxa"/>
          </w:tcPr>
          <w:p>
            <w:pPr>
              <w:pStyle w:val="TableParagraph"/>
              <w:spacing w:line="248" w:lineRule="exact" w:before="128"/>
              <w:ind w:left="109"/>
              <w:rPr>
                <w:sz w:val="22"/>
              </w:rPr>
            </w:pPr>
            <w:r>
              <w:rPr>
                <w:w w:val="105"/>
                <w:sz w:val="22"/>
              </w:rPr>
              <w:t>-</w:t>
            </w:r>
            <w:r>
              <w:rPr>
                <w:spacing w:val="-2"/>
                <w:w w:val="105"/>
                <w:sz w:val="22"/>
              </w:rPr>
              <w:t>.273*</w:t>
            </w:r>
          </w:p>
        </w:tc>
        <w:tc>
          <w:tcPr>
            <w:tcW w:w="1343" w:type="dxa"/>
          </w:tcPr>
          <w:p>
            <w:pPr>
              <w:pStyle w:val="TableParagraph"/>
              <w:spacing w:before="123"/>
              <w:ind w:left="267"/>
              <w:rPr>
                <w:sz w:val="22"/>
              </w:rPr>
            </w:pPr>
            <w:r>
              <w:rPr>
                <w:spacing w:val="-2"/>
                <w:w w:val="105"/>
                <w:sz w:val="22"/>
              </w:rPr>
              <w:t>.864***</w:t>
            </w:r>
          </w:p>
        </w:tc>
        <w:tc>
          <w:tcPr>
            <w:tcW w:w="1383" w:type="dxa"/>
          </w:tcPr>
          <w:p>
            <w:pPr>
              <w:pStyle w:val="TableParagraph"/>
              <w:spacing w:line="248" w:lineRule="exact" w:before="128"/>
              <w:ind w:left="332"/>
              <w:rPr>
                <w:sz w:val="22"/>
              </w:rPr>
            </w:pPr>
            <w:r>
              <w:rPr>
                <w:spacing w:val="-10"/>
                <w:sz w:val="22"/>
              </w:rPr>
              <w:t>1</w:t>
            </w:r>
          </w:p>
        </w:tc>
        <w:tc>
          <w:tcPr>
            <w:tcW w:w="1051" w:type="dxa"/>
          </w:tcPr>
          <w:p>
            <w:pPr>
              <w:pStyle w:val="TableParagraph"/>
              <w:spacing w:before="123"/>
              <w:ind w:left="286"/>
              <w:jc w:val="center"/>
              <w:rPr>
                <w:sz w:val="22"/>
              </w:rPr>
            </w:pPr>
            <w:r>
              <w:rPr>
                <w:spacing w:val="-2"/>
                <w:w w:val="105"/>
                <w:sz w:val="22"/>
              </w:rPr>
              <w:t>.412***</w:t>
            </w:r>
          </w:p>
        </w:tc>
      </w:tr>
      <w:tr>
        <w:trPr>
          <w:trHeight w:val="384" w:hRule="atLeast"/>
        </w:trPr>
        <w:tc>
          <w:tcPr>
            <w:tcW w:w="705" w:type="dxa"/>
          </w:tcPr>
          <w:p>
            <w:pPr>
              <w:pStyle w:val="TableParagraph"/>
              <w:spacing w:before="1"/>
              <w:ind w:right="59"/>
              <w:jc w:val="center"/>
              <w:rPr>
                <w:sz w:val="22"/>
              </w:rPr>
            </w:pPr>
            <w:r>
              <w:rPr>
                <w:spacing w:val="-2"/>
                <w:w w:val="105"/>
                <w:sz w:val="22"/>
              </w:rPr>
              <w:t>leisure</w:t>
            </w:r>
          </w:p>
        </w:tc>
        <w:tc>
          <w:tcPr>
            <w:tcW w:w="1185" w:type="dxa"/>
          </w:tcPr>
          <w:p>
            <w:pPr>
              <w:pStyle w:val="TableParagraph"/>
              <w:rPr>
                <w:sz w:val="22"/>
              </w:rPr>
            </w:pPr>
          </w:p>
        </w:tc>
        <w:tc>
          <w:tcPr>
            <w:tcW w:w="1496" w:type="dxa"/>
          </w:tcPr>
          <w:p>
            <w:pPr>
              <w:pStyle w:val="TableParagraph"/>
              <w:rPr>
                <w:sz w:val="22"/>
              </w:rPr>
            </w:pPr>
          </w:p>
        </w:tc>
        <w:tc>
          <w:tcPr>
            <w:tcW w:w="1244" w:type="dxa"/>
          </w:tcPr>
          <w:p>
            <w:pPr>
              <w:pStyle w:val="TableParagraph"/>
              <w:rPr>
                <w:sz w:val="22"/>
              </w:rPr>
            </w:pPr>
          </w:p>
        </w:tc>
        <w:tc>
          <w:tcPr>
            <w:tcW w:w="1343" w:type="dxa"/>
          </w:tcPr>
          <w:p>
            <w:pPr>
              <w:pStyle w:val="TableParagraph"/>
              <w:rPr>
                <w:sz w:val="22"/>
              </w:rPr>
            </w:pPr>
          </w:p>
        </w:tc>
        <w:tc>
          <w:tcPr>
            <w:tcW w:w="1383" w:type="dxa"/>
          </w:tcPr>
          <w:p>
            <w:pPr>
              <w:pStyle w:val="TableParagraph"/>
              <w:rPr>
                <w:sz w:val="22"/>
              </w:rPr>
            </w:pPr>
          </w:p>
        </w:tc>
        <w:tc>
          <w:tcPr>
            <w:tcW w:w="1051" w:type="dxa"/>
          </w:tcPr>
          <w:p>
            <w:pPr>
              <w:pStyle w:val="TableParagraph"/>
              <w:rPr>
                <w:sz w:val="22"/>
              </w:rPr>
            </w:pPr>
          </w:p>
        </w:tc>
      </w:tr>
      <w:tr>
        <w:trPr>
          <w:trHeight w:val="650" w:hRule="atLeast"/>
        </w:trPr>
        <w:tc>
          <w:tcPr>
            <w:tcW w:w="705" w:type="dxa"/>
            <w:tcBorders>
              <w:bottom w:val="single" w:sz="18" w:space="0" w:color="000000"/>
            </w:tcBorders>
          </w:tcPr>
          <w:p>
            <w:pPr>
              <w:pStyle w:val="TableParagraph"/>
              <w:spacing w:line="260" w:lineRule="atLeast" w:before="110"/>
              <w:ind w:left="17" w:right="-9" w:hanging="2"/>
              <w:rPr>
                <w:sz w:val="22"/>
              </w:rPr>
            </w:pPr>
            <w:r>
              <w:rPr>
                <w:spacing w:val="-2"/>
                <w:w w:val="105"/>
                <w:sz w:val="22"/>
              </w:rPr>
              <w:t>Passive leisure</w:t>
            </w:r>
          </w:p>
        </w:tc>
        <w:tc>
          <w:tcPr>
            <w:tcW w:w="1185" w:type="dxa"/>
            <w:tcBorders>
              <w:bottom w:val="single" w:sz="18" w:space="0" w:color="000000"/>
            </w:tcBorders>
          </w:tcPr>
          <w:p>
            <w:pPr>
              <w:pStyle w:val="TableParagraph"/>
              <w:spacing w:before="135"/>
              <w:ind w:left="180"/>
              <w:rPr>
                <w:sz w:val="22"/>
              </w:rPr>
            </w:pPr>
            <w:r>
              <w:rPr>
                <w:sz w:val="22"/>
              </w:rPr>
              <w:t>-</w:t>
            </w:r>
            <w:r>
              <w:rPr>
                <w:spacing w:val="-4"/>
                <w:sz w:val="22"/>
              </w:rPr>
              <w:t>.095</w:t>
            </w:r>
          </w:p>
        </w:tc>
        <w:tc>
          <w:tcPr>
            <w:tcW w:w="1496" w:type="dxa"/>
            <w:tcBorders>
              <w:bottom w:val="single" w:sz="18" w:space="0" w:color="000000"/>
            </w:tcBorders>
          </w:tcPr>
          <w:p>
            <w:pPr>
              <w:pStyle w:val="TableParagraph"/>
              <w:spacing w:before="131"/>
              <w:ind w:left="324"/>
              <w:rPr>
                <w:sz w:val="22"/>
              </w:rPr>
            </w:pPr>
            <w:r>
              <w:rPr>
                <w:spacing w:val="-4"/>
                <w:w w:val="105"/>
                <w:sz w:val="22"/>
              </w:rPr>
              <w:t>.038</w:t>
            </w:r>
          </w:p>
        </w:tc>
        <w:tc>
          <w:tcPr>
            <w:tcW w:w="1244" w:type="dxa"/>
            <w:tcBorders>
              <w:bottom w:val="single" w:sz="18" w:space="0" w:color="000000"/>
            </w:tcBorders>
          </w:tcPr>
          <w:p>
            <w:pPr>
              <w:pStyle w:val="TableParagraph"/>
              <w:spacing w:before="131"/>
              <w:ind w:left="114"/>
              <w:rPr>
                <w:sz w:val="22"/>
              </w:rPr>
            </w:pPr>
            <w:r>
              <w:rPr>
                <w:w w:val="105"/>
                <w:sz w:val="22"/>
              </w:rPr>
              <w:t>-</w:t>
            </w:r>
            <w:r>
              <w:rPr>
                <w:spacing w:val="-4"/>
                <w:w w:val="105"/>
                <w:sz w:val="22"/>
              </w:rPr>
              <w:t>.007</w:t>
            </w:r>
          </w:p>
        </w:tc>
        <w:tc>
          <w:tcPr>
            <w:tcW w:w="1343" w:type="dxa"/>
            <w:tcBorders>
              <w:bottom w:val="single" w:sz="18" w:space="0" w:color="000000"/>
            </w:tcBorders>
          </w:tcPr>
          <w:p>
            <w:pPr>
              <w:pStyle w:val="TableParagraph"/>
              <w:spacing w:before="121"/>
              <w:ind w:left="272"/>
              <w:rPr>
                <w:sz w:val="22"/>
              </w:rPr>
            </w:pPr>
            <w:r>
              <w:rPr>
                <w:spacing w:val="-2"/>
                <w:w w:val="105"/>
                <w:sz w:val="22"/>
              </w:rPr>
              <w:t>.789***</w:t>
            </w:r>
          </w:p>
        </w:tc>
        <w:tc>
          <w:tcPr>
            <w:tcW w:w="1383" w:type="dxa"/>
            <w:tcBorders>
              <w:bottom w:val="single" w:sz="18" w:space="0" w:color="000000"/>
            </w:tcBorders>
          </w:tcPr>
          <w:p>
            <w:pPr>
              <w:pStyle w:val="TableParagraph"/>
              <w:spacing w:before="145"/>
              <w:ind w:left="333"/>
              <w:rPr>
                <w:sz w:val="22"/>
              </w:rPr>
            </w:pPr>
            <w:r>
              <w:rPr>
                <w:spacing w:val="-2"/>
                <w:w w:val="105"/>
                <w:sz w:val="22"/>
              </w:rPr>
              <w:t>.371**</w:t>
            </w:r>
          </w:p>
        </w:tc>
        <w:tc>
          <w:tcPr>
            <w:tcW w:w="1051" w:type="dxa"/>
            <w:tcBorders>
              <w:bottom w:val="single" w:sz="18" w:space="0" w:color="000000"/>
            </w:tcBorders>
          </w:tcPr>
          <w:p>
            <w:pPr>
              <w:pStyle w:val="TableParagraph"/>
              <w:rPr>
                <w:sz w:val="22"/>
              </w:rPr>
            </w:pPr>
          </w:p>
        </w:tc>
      </w:tr>
    </w:tbl>
    <w:p>
      <w:pPr>
        <w:spacing w:before="5"/>
        <w:ind w:left="496" w:right="0" w:firstLine="0"/>
        <w:jc w:val="left"/>
        <w:rPr>
          <w:sz w:val="22"/>
        </w:rPr>
      </w:pPr>
      <w:r>
        <w:rPr>
          <w:i/>
          <w:w w:val="105"/>
          <w:sz w:val="22"/>
        </w:rPr>
        <w:t>Note.</w:t>
      </w:r>
      <w:r>
        <w:rPr>
          <w:i/>
          <w:spacing w:val="-8"/>
          <w:w w:val="105"/>
          <w:sz w:val="22"/>
        </w:rPr>
        <w:t> </w:t>
      </w:r>
      <w:r>
        <w:rPr>
          <w:i/>
          <w:w w:val="105"/>
          <w:sz w:val="22"/>
        </w:rPr>
        <w:t>*p</w:t>
      </w:r>
      <w:r>
        <w:rPr>
          <w:i/>
          <w:spacing w:val="24"/>
          <w:w w:val="105"/>
          <w:sz w:val="22"/>
        </w:rPr>
        <w:t> </w:t>
      </w:r>
      <w:r>
        <w:rPr>
          <w:w w:val="105"/>
          <w:sz w:val="22"/>
        </w:rPr>
        <w:t>&lt;</w:t>
      </w:r>
      <w:r>
        <w:rPr>
          <w:spacing w:val="-2"/>
          <w:w w:val="105"/>
          <w:sz w:val="22"/>
        </w:rPr>
        <w:t> </w:t>
      </w:r>
      <w:r>
        <w:rPr>
          <w:w w:val="105"/>
          <w:sz w:val="22"/>
        </w:rPr>
        <w:t>.05,</w:t>
      </w:r>
      <w:r>
        <w:rPr>
          <w:spacing w:val="-7"/>
          <w:w w:val="105"/>
          <w:sz w:val="22"/>
        </w:rPr>
        <w:t> </w:t>
      </w:r>
      <w:r>
        <w:rPr>
          <w:i/>
          <w:w w:val="105"/>
          <w:sz w:val="22"/>
        </w:rPr>
        <w:t>**p</w:t>
      </w:r>
      <w:r>
        <w:rPr>
          <w:i/>
          <w:spacing w:val="7"/>
          <w:w w:val="105"/>
          <w:sz w:val="22"/>
        </w:rPr>
        <w:t> </w:t>
      </w:r>
      <w:r>
        <w:rPr>
          <w:w w:val="105"/>
          <w:sz w:val="22"/>
        </w:rPr>
        <w:t>&lt;</w:t>
      </w:r>
      <w:r>
        <w:rPr>
          <w:spacing w:val="-2"/>
          <w:w w:val="105"/>
          <w:sz w:val="22"/>
        </w:rPr>
        <w:t> </w:t>
      </w:r>
      <w:r>
        <w:rPr>
          <w:w w:val="105"/>
          <w:sz w:val="22"/>
        </w:rPr>
        <w:t>.01,</w:t>
      </w:r>
      <w:r>
        <w:rPr>
          <w:spacing w:val="-12"/>
          <w:w w:val="105"/>
          <w:sz w:val="22"/>
        </w:rPr>
        <w:t> </w:t>
      </w:r>
      <w:r>
        <w:rPr>
          <w:i/>
          <w:w w:val="105"/>
          <w:sz w:val="22"/>
        </w:rPr>
        <w:t>***p</w:t>
      </w:r>
      <w:r>
        <w:rPr>
          <w:i/>
          <w:spacing w:val="7"/>
          <w:w w:val="105"/>
          <w:sz w:val="22"/>
        </w:rPr>
        <w:t> </w:t>
      </w:r>
      <w:r>
        <w:rPr>
          <w:w w:val="105"/>
          <w:sz w:val="22"/>
        </w:rPr>
        <w:t>&lt;</w:t>
      </w:r>
      <w:r>
        <w:rPr>
          <w:spacing w:val="-2"/>
          <w:w w:val="105"/>
          <w:sz w:val="22"/>
        </w:rPr>
        <w:t> .001.</w:t>
      </w:r>
    </w:p>
    <w:p>
      <w:pPr>
        <w:pStyle w:val="BodyText"/>
        <w:spacing w:before="235"/>
      </w:pPr>
    </w:p>
    <w:p>
      <w:pPr>
        <w:pStyle w:val="BodyText"/>
        <w:ind w:left="503"/>
        <w:rPr>
          <w:i/>
        </w:rPr>
      </w:pPr>
      <w:r>
        <w:rPr>
          <w:w w:val="105"/>
        </w:rPr>
        <w:t>In</w:t>
      </w:r>
      <w:r>
        <w:rPr>
          <w:spacing w:val="-12"/>
          <w:w w:val="105"/>
        </w:rPr>
        <w:t> </w:t>
      </w:r>
      <w:r>
        <w:rPr>
          <w:w w:val="105"/>
        </w:rPr>
        <w:t>addition,</w:t>
      </w:r>
      <w:r>
        <w:rPr>
          <w:spacing w:val="-8"/>
          <w:w w:val="105"/>
        </w:rPr>
        <w:t> </w:t>
      </w:r>
      <w:r>
        <w:rPr>
          <w:w w:val="105"/>
        </w:rPr>
        <w:t>"pain</w:t>
      </w:r>
      <w:r>
        <w:rPr>
          <w:spacing w:val="5"/>
          <w:w w:val="105"/>
        </w:rPr>
        <w:t> </w:t>
      </w:r>
      <w:r>
        <w:rPr>
          <w:w w:val="105"/>
        </w:rPr>
        <w:t>in</w:t>
      </w:r>
      <w:r>
        <w:rPr>
          <w:spacing w:val="-7"/>
          <w:w w:val="105"/>
        </w:rPr>
        <w:t> </w:t>
      </w:r>
      <w:r>
        <w:rPr>
          <w:w w:val="105"/>
        </w:rPr>
        <w:t>the</w:t>
      </w:r>
      <w:r>
        <w:rPr>
          <w:spacing w:val="5"/>
          <w:w w:val="105"/>
        </w:rPr>
        <w:t> </w:t>
      </w:r>
      <w:r>
        <w:rPr>
          <w:w w:val="105"/>
        </w:rPr>
        <w:t>past</w:t>
      </w:r>
      <w:r>
        <w:rPr>
          <w:spacing w:val="-8"/>
          <w:w w:val="105"/>
        </w:rPr>
        <w:t> </w:t>
      </w:r>
      <w:r>
        <w:rPr>
          <w:w w:val="105"/>
        </w:rPr>
        <w:t>4</w:t>
      </w:r>
      <w:r>
        <w:rPr>
          <w:spacing w:val="-6"/>
          <w:w w:val="105"/>
        </w:rPr>
        <w:t> </w:t>
      </w:r>
      <w:r>
        <w:rPr>
          <w:w w:val="105"/>
        </w:rPr>
        <w:t>weeks"</w:t>
      </w:r>
      <w:r>
        <w:rPr>
          <w:spacing w:val="-4"/>
          <w:w w:val="105"/>
        </w:rPr>
        <w:t> </w:t>
      </w:r>
      <w:r>
        <w:rPr>
          <w:w w:val="105"/>
        </w:rPr>
        <w:t>was</w:t>
      </w:r>
      <w:r>
        <w:rPr>
          <w:spacing w:val="-10"/>
          <w:w w:val="105"/>
        </w:rPr>
        <w:t> </w:t>
      </w:r>
      <w:r>
        <w:rPr>
          <w:w w:val="105"/>
        </w:rPr>
        <w:t>significantly</w:t>
      </w:r>
      <w:r>
        <w:rPr>
          <w:spacing w:val="6"/>
          <w:w w:val="105"/>
        </w:rPr>
        <w:t> </w:t>
      </w:r>
      <w:r>
        <w:rPr>
          <w:w w:val="105"/>
        </w:rPr>
        <w:t>correlated</w:t>
      </w:r>
      <w:r>
        <w:rPr>
          <w:spacing w:val="8"/>
          <w:w w:val="105"/>
        </w:rPr>
        <w:t> </w:t>
      </w:r>
      <w:r>
        <w:rPr>
          <w:w w:val="105"/>
        </w:rPr>
        <w:t>with</w:t>
      </w:r>
      <w:r>
        <w:rPr>
          <w:spacing w:val="7"/>
          <w:w w:val="105"/>
        </w:rPr>
        <w:t> </w:t>
      </w:r>
      <w:r>
        <w:rPr>
          <w:w w:val="105"/>
        </w:rPr>
        <w:t>BDI-11</w:t>
      </w:r>
      <w:r>
        <w:rPr>
          <w:spacing w:val="-15"/>
          <w:w w:val="105"/>
        </w:rPr>
        <w:t> </w:t>
      </w:r>
      <w:r>
        <w:rPr>
          <w:rFonts w:ascii="Arial"/>
          <w:i/>
          <w:w w:val="105"/>
          <w:sz w:val="21"/>
        </w:rPr>
        <w:t>(r</w:t>
      </w:r>
      <w:r>
        <w:rPr>
          <w:rFonts w:ascii="Arial"/>
          <w:i/>
          <w:spacing w:val="26"/>
          <w:w w:val="105"/>
          <w:sz w:val="21"/>
        </w:rPr>
        <w:t> </w:t>
      </w:r>
      <w:r>
        <w:rPr>
          <w:w w:val="105"/>
          <w:sz w:val="26"/>
        </w:rPr>
        <w:t>=</w:t>
      </w:r>
      <w:r>
        <w:rPr>
          <w:spacing w:val="-17"/>
          <w:w w:val="105"/>
          <w:sz w:val="26"/>
        </w:rPr>
        <w:t> </w:t>
      </w:r>
      <w:r>
        <w:rPr>
          <w:w w:val="105"/>
        </w:rPr>
        <w:t>.32, </w:t>
      </w:r>
      <w:r>
        <w:rPr>
          <w:i/>
          <w:spacing w:val="-10"/>
          <w:w w:val="105"/>
        </w:rPr>
        <w:t>p</w:t>
      </w:r>
    </w:p>
    <w:p>
      <w:pPr>
        <w:pStyle w:val="BodyText"/>
        <w:spacing w:line="453" w:lineRule="auto" w:before="225"/>
        <w:ind w:left="496" w:right="144" w:hanging="2"/>
      </w:pPr>
      <w:r>
        <w:rPr>
          <w:w w:val="105"/>
          <w:sz w:val="26"/>
        </w:rPr>
        <w:t>=</w:t>
      </w:r>
      <w:r>
        <w:rPr>
          <w:spacing w:val="-9"/>
          <w:w w:val="105"/>
          <w:sz w:val="26"/>
        </w:rPr>
        <w:t> </w:t>
      </w:r>
      <w:r>
        <w:rPr>
          <w:w w:val="105"/>
        </w:rPr>
        <w:t>.006). As before, the effect sizes were weak with 20% and 10% (respectively) of the variance explained. In</w:t>
      </w:r>
      <w:r>
        <w:rPr>
          <w:spacing w:val="-1"/>
          <w:w w:val="105"/>
        </w:rPr>
        <w:t> </w:t>
      </w:r>
      <w:r>
        <w:rPr>
          <w:w w:val="105"/>
        </w:rPr>
        <w:t>contrast to</w:t>
      </w:r>
      <w:r>
        <w:rPr>
          <w:spacing w:val="-7"/>
          <w:w w:val="105"/>
        </w:rPr>
        <w:t> </w:t>
      </w:r>
      <w:r>
        <w:rPr>
          <w:w w:val="105"/>
        </w:rPr>
        <w:t>the FM group, for</w:t>
      </w:r>
      <w:r>
        <w:rPr>
          <w:spacing w:val="-3"/>
          <w:w w:val="105"/>
        </w:rPr>
        <w:t> </w:t>
      </w:r>
      <w:r>
        <w:rPr>
          <w:w w:val="105"/>
        </w:rPr>
        <w:t>the non-FM</w:t>
      </w:r>
      <w:r>
        <w:rPr>
          <w:w w:val="105"/>
        </w:rPr>
        <w:t> group, the</w:t>
      </w:r>
      <w:r>
        <w:rPr>
          <w:spacing w:val="-5"/>
          <w:w w:val="105"/>
        </w:rPr>
        <w:t> </w:t>
      </w:r>
      <w:r>
        <w:rPr>
          <w:w w:val="105"/>
        </w:rPr>
        <w:t>active leisure variable</w:t>
      </w:r>
      <w:r>
        <w:rPr>
          <w:spacing w:val="-11"/>
          <w:w w:val="105"/>
        </w:rPr>
        <w:t> </w:t>
      </w:r>
      <w:r>
        <w:rPr>
          <w:w w:val="105"/>
        </w:rPr>
        <w:t>was</w:t>
      </w:r>
      <w:r>
        <w:rPr>
          <w:spacing w:val="-14"/>
          <w:w w:val="105"/>
        </w:rPr>
        <w:t> </w:t>
      </w:r>
      <w:r>
        <w:rPr>
          <w:w w:val="105"/>
        </w:rPr>
        <w:t>negatively</w:t>
      </w:r>
      <w:r>
        <w:rPr>
          <w:spacing w:val="-2"/>
          <w:w w:val="105"/>
        </w:rPr>
        <w:t> </w:t>
      </w:r>
      <w:r>
        <w:rPr>
          <w:w w:val="105"/>
        </w:rPr>
        <w:t>correlated</w:t>
      </w:r>
      <w:r>
        <w:rPr>
          <w:spacing w:val="13"/>
          <w:w w:val="105"/>
        </w:rPr>
        <w:t> </w:t>
      </w:r>
      <w:r>
        <w:rPr>
          <w:w w:val="105"/>
        </w:rPr>
        <w:t>with BDI-11</w:t>
      </w:r>
      <w:r>
        <w:rPr>
          <w:spacing w:val="-15"/>
          <w:w w:val="105"/>
        </w:rPr>
        <w:t> </w:t>
      </w:r>
      <w:r>
        <w:rPr>
          <w:rFonts w:ascii="Arial"/>
          <w:i/>
          <w:w w:val="105"/>
          <w:sz w:val="21"/>
        </w:rPr>
        <w:t>(r</w:t>
      </w:r>
      <w:r>
        <w:rPr>
          <w:rFonts w:ascii="Arial"/>
          <w:i/>
          <w:spacing w:val="26"/>
          <w:w w:val="105"/>
          <w:sz w:val="21"/>
        </w:rPr>
        <w:t> </w:t>
      </w:r>
      <w:r>
        <w:rPr>
          <w:w w:val="105"/>
          <w:sz w:val="26"/>
        </w:rPr>
        <w:t>=</w:t>
      </w:r>
      <w:r>
        <w:rPr>
          <w:spacing w:val="-18"/>
          <w:w w:val="105"/>
          <w:sz w:val="26"/>
        </w:rPr>
        <w:t> </w:t>
      </w:r>
      <w:r>
        <w:rPr>
          <w:w w:val="105"/>
        </w:rPr>
        <w:t>-.27,</w:t>
      </w:r>
      <w:r>
        <w:rPr>
          <w:spacing w:val="-5"/>
          <w:w w:val="105"/>
        </w:rPr>
        <w:t> </w:t>
      </w:r>
      <w:r>
        <w:rPr>
          <w:i/>
          <w:w w:val="105"/>
        </w:rPr>
        <w:t>p</w:t>
      </w:r>
      <w:r>
        <w:rPr>
          <w:i/>
          <w:spacing w:val="-14"/>
          <w:w w:val="105"/>
        </w:rPr>
        <w:t> </w:t>
      </w:r>
      <w:r>
        <w:rPr>
          <w:w w:val="105"/>
          <w:sz w:val="26"/>
        </w:rPr>
        <w:t>=</w:t>
      </w:r>
      <w:r>
        <w:rPr>
          <w:spacing w:val="-18"/>
          <w:w w:val="105"/>
          <w:sz w:val="26"/>
        </w:rPr>
        <w:t> </w:t>
      </w:r>
      <w:r>
        <w:rPr>
          <w:w w:val="105"/>
        </w:rPr>
        <w:t>.02)</w:t>
      </w:r>
      <w:r>
        <w:rPr>
          <w:spacing w:val="-5"/>
          <w:w w:val="105"/>
        </w:rPr>
        <w:t> </w:t>
      </w:r>
      <w:r>
        <w:rPr>
          <w:w w:val="105"/>
        </w:rPr>
        <w:t>with 7%</w:t>
      </w:r>
      <w:r>
        <w:rPr>
          <w:spacing w:val="-13"/>
          <w:w w:val="105"/>
        </w:rPr>
        <w:t> </w:t>
      </w:r>
      <w:r>
        <w:rPr>
          <w:w w:val="105"/>
        </w:rPr>
        <w:t>of</w:t>
      </w:r>
      <w:r>
        <w:rPr>
          <w:spacing w:val="-15"/>
          <w:w w:val="105"/>
        </w:rPr>
        <w:t> </w:t>
      </w:r>
      <w:r>
        <w:rPr>
          <w:w w:val="105"/>
        </w:rPr>
        <w:t>the</w:t>
      </w:r>
      <w:r>
        <w:rPr>
          <w:spacing w:val="-7"/>
          <w:w w:val="105"/>
        </w:rPr>
        <w:t> </w:t>
      </w:r>
      <w:r>
        <w:rPr>
          <w:w w:val="105"/>
        </w:rPr>
        <w:t>variance explained. This</w:t>
      </w:r>
      <w:r>
        <w:rPr>
          <w:spacing w:val="-3"/>
          <w:w w:val="105"/>
        </w:rPr>
        <w:t> </w:t>
      </w:r>
      <w:r>
        <w:rPr>
          <w:w w:val="105"/>
        </w:rPr>
        <w:t>correlation</w:t>
      </w:r>
      <w:r>
        <w:rPr>
          <w:w w:val="105"/>
        </w:rPr>
        <w:t> suggests that higher level of participation</w:t>
      </w:r>
      <w:r>
        <w:rPr>
          <w:spacing w:val="39"/>
          <w:w w:val="105"/>
        </w:rPr>
        <w:t> </w:t>
      </w:r>
      <w:r>
        <w:rPr>
          <w:w w:val="105"/>
        </w:rPr>
        <w:t>in active leisure</w:t>
      </w:r>
    </w:p>
    <w:p>
      <w:pPr>
        <w:pStyle w:val="BodyText"/>
        <w:spacing w:line="496" w:lineRule="auto" w:before="41"/>
        <w:ind w:left="493" w:right="212" w:firstLine="3"/>
      </w:pPr>
      <w:r>
        <w:rPr>
          <w:w w:val="105"/>
        </w:rPr>
        <w:t>activities is</w:t>
      </w:r>
      <w:r>
        <w:rPr>
          <w:spacing w:val="-1"/>
          <w:w w:val="105"/>
        </w:rPr>
        <w:t> </w:t>
      </w:r>
      <w:r>
        <w:rPr>
          <w:w w:val="105"/>
        </w:rPr>
        <w:t>associated</w:t>
      </w:r>
      <w:r>
        <w:rPr>
          <w:spacing w:val="34"/>
          <w:w w:val="105"/>
        </w:rPr>
        <w:t> </w:t>
      </w:r>
      <w:r>
        <w:rPr>
          <w:w w:val="105"/>
        </w:rPr>
        <w:t>with lower levels of depression. As before, there was no significant correlation detected</w:t>
      </w:r>
      <w:r>
        <w:rPr>
          <w:w w:val="105"/>
        </w:rPr>
        <w:t> between</w:t>
      </w:r>
      <w:r>
        <w:rPr>
          <w:w w:val="105"/>
        </w:rPr>
        <w:t> leisure</w:t>
      </w:r>
      <w:r>
        <w:rPr>
          <w:spacing w:val="-7"/>
          <w:w w:val="105"/>
        </w:rPr>
        <w:t> </w:t>
      </w:r>
      <w:r>
        <w:rPr>
          <w:w w:val="105"/>
        </w:rPr>
        <w:t>activity variables</w:t>
      </w:r>
      <w:r>
        <w:rPr>
          <w:spacing w:val="-2"/>
          <w:w w:val="105"/>
        </w:rPr>
        <w:t> </w:t>
      </w:r>
      <w:r>
        <w:rPr>
          <w:w w:val="105"/>
        </w:rPr>
        <w:t>and pain variables.</w:t>
      </w:r>
    </w:p>
    <w:p>
      <w:pPr>
        <w:pStyle w:val="BodyText"/>
        <w:spacing w:line="496" w:lineRule="auto"/>
        <w:ind w:left="493" w:right="212" w:firstLine="706"/>
      </w:pPr>
      <w:r>
        <w:rPr>
          <w:w w:val="105"/>
        </w:rPr>
        <w:t>Additional</w:t>
      </w:r>
      <w:r>
        <w:rPr>
          <w:spacing w:val="22"/>
          <w:w w:val="105"/>
        </w:rPr>
        <w:t> </w:t>
      </w:r>
      <w:r>
        <w:rPr>
          <w:w w:val="105"/>
        </w:rPr>
        <w:t>bivariate</w:t>
      </w:r>
      <w:r>
        <w:rPr>
          <w:spacing w:val="-1"/>
          <w:w w:val="105"/>
        </w:rPr>
        <w:t> </w:t>
      </w:r>
      <w:r>
        <w:rPr>
          <w:w w:val="105"/>
        </w:rPr>
        <w:t>correlations were run to</w:t>
      </w:r>
      <w:r>
        <w:rPr>
          <w:spacing w:val="-12"/>
          <w:w w:val="105"/>
        </w:rPr>
        <w:t> </w:t>
      </w:r>
      <w:r>
        <w:rPr>
          <w:w w:val="105"/>
        </w:rPr>
        <w:t>determine</w:t>
      </w:r>
      <w:r>
        <w:rPr>
          <w:spacing w:val="-1"/>
          <w:w w:val="105"/>
        </w:rPr>
        <w:t> </w:t>
      </w:r>
      <w:r>
        <w:rPr>
          <w:w w:val="105"/>
        </w:rPr>
        <w:t>whether</w:t>
      </w:r>
      <w:r>
        <w:rPr>
          <w:spacing w:val="-1"/>
          <w:w w:val="105"/>
        </w:rPr>
        <w:t> </w:t>
      </w:r>
      <w:r>
        <w:rPr>
          <w:w w:val="105"/>
        </w:rPr>
        <w:t>other variables should</w:t>
      </w:r>
      <w:r>
        <w:rPr>
          <w:w w:val="105"/>
        </w:rPr>
        <w:t> be included in the planned</w:t>
      </w:r>
      <w:r>
        <w:rPr>
          <w:w w:val="105"/>
        </w:rPr>
        <w:t> regression analyses. Table 3 displays correlations</w:t>
      </w:r>
    </w:p>
    <w:p>
      <w:pPr>
        <w:spacing w:after="0" w:line="496" w:lineRule="auto"/>
        <w:sectPr>
          <w:headerReference w:type="default" r:id="rId33"/>
          <w:pgSz w:w="12470" w:h="15780"/>
          <w:pgMar w:header="1034" w:footer="0" w:top="1580" w:bottom="280" w:left="1760" w:right="1720"/>
        </w:sectPr>
      </w:pPr>
    </w:p>
    <w:p>
      <w:pPr>
        <w:pStyle w:val="BodyText"/>
        <w:spacing w:line="496" w:lineRule="auto" w:before="81"/>
        <w:ind w:left="478" w:right="303" w:hanging="11"/>
      </w:pPr>
      <w:r>
        <w:rPr>
          <w:w w:val="105"/>
        </w:rPr>
        <w:t>among the</w:t>
      </w:r>
      <w:r>
        <w:rPr>
          <w:spacing w:val="-3"/>
          <w:w w:val="105"/>
        </w:rPr>
        <w:t> </w:t>
      </w:r>
      <w:r>
        <w:rPr>
          <w:w w:val="105"/>
        </w:rPr>
        <w:t>variables of</w:t>
      </w:r>
      <w:r>
        <w:rPr>
          <w:spacing w:val="-2"/>
          <w:w w:val="105"/>
        </w:rPr>
        <w:t> </w:t>
      </w:r>
      <w:r>
        <w:rPr>
          <w:w w:val="105"/>
        </w:rPr>
        <w:t>interest (pain,</w:t>
      </w:r>
      <w:r>
        <w:rPr>
          <w:spacing w:val="-6"/>
          <w:w w:val="105"/>
        </w:rPr>
        <w:t> </w:t>
      </w:r>
      <w:r>
        <w:rPr>
          <w:w w:val="105"/>
        </w:rPr>
        <w:t>depression, and</w:t>
      </w:r>
      <w:r>
        <w:rPr>
          <w:w w:val="105"/>
        </w:rPr>
        <w:t> leisure)</w:t>
      </w:r>
      <w:r>
        <w:rPr>
          <w:spacing w:val="-1"/>
          <w:w w:val="105"/>
        </w:rPr>
        <w:t> </w:t>
      </w:r>
      <w:r>
        <w:rPr>
          <w:w w:val="105"/>
        </w:rPr>
        <w:t>and other potentially related variables across the entire sample.</w:t>
      </w:r>
    </w:p>
    <w:p>
      <w:pPr>
        <w:pStyle w:val="BodyText"/>
        <w:spacing w:before="6"/>
      </w:pPr>
    </w:p>
    <w:p>
      <w:pPr>
        <w:pStyle w:val="BodyText"/>
        <w:spacing w:line="247" w:lineRule="auto"/>
        <w:ind w:left="478" w:hanging="10"/>
      </w:pPr>
      <w:r>
        <w:rPr>
          <w:w w:val="105"/>
        </w:rPr>
        <w:t>Table</w:t>
      </w:r>
      <w:r>
        <w:rPr>
          <w:spacing w:val="-2"/>
          <w:w w:val="105"/>
        </w:rPr>
        <w:t> </w:t>
      </w:r>
      <w:r>
        <w:rPr>
          <w:w w:val="105"/>
        </w:rPr>
        <w:t>3.</w:t>
      </w:r>
      <w:r>
        <w:rPr>
          <w:spacing w:val="-15"/>
          <w:w w:val="105"/>
        </w:rPr>
        <w:t> </w:t>
      </w:r>
      <w:r>
        <w:rPr>
          <w:w w:val="105"/>
        </w:rPr>
        <w:t>Correlations</w:t>
      </w:r>
      <w:r>
        <w:rPr>
          <w:w w:val="105"/>
        </w:rPr>
        <w:t> Between</w:t>
      </w:r>
      <w:r>
        <w:rPr>
          <w:w w:val="105"/>
        </w:rPr>
        <w:t> Variables</w:t>
      </w:r>
      <w:r>
        <w:rPr>
          <w:spacing w:val="-5"/>
          <w:w w:val="105"/>
        </w:rPr>
        <w:t> </w:t>
      </w:r>
      <w:r>
        <w:rPr>
          <w:w w:val="105"/>
        </w:rPr>
        <w:t>of Interest and Other Potentially Contributing </w:t>
      </w:r>
      <w:r>
        <w:rPr>
          <w:spacing w:val="-2"/>
          <w:w w:val="105"/>
        </w:rPr>
        <w:t>Variables</w:t>
      </w:r>
    </w:p>
    <w:p>
      <w:pPr>
        <w:pStyle w:val="BodyText"/>
        <w:spacing w:before="65"/>
        <w:rPr>
          <w:sz w:val="20"/>
        </w:rPr>
      </w:pPr>
    </w:p>
    <w:tbl>
      <w:tblPr>
        <w:tblW w:w="0" w:type="auto"/>
        <w:jc w:val="left"/>
        <w:tblInd w:w="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24"/>
        <w:gridCol w:w="1345"/>
        <w:gridCol w:w="1395"/>
        <w:gridCol w:w="1385"/>
        <w:gridCol w:w="1404"/>
        <w:gridCol w:w="1023"/>
      </w:tblGrid>
      <w:tr>
        <w:trPr>
          <w:trHeight w:val="534" w:hRule="atLeast"/>
        </w:trPr>
        <w:tc>
          <w:tcPr>
            <w:tcW w:w="1924" w:type="dxa"/>
            <w:tcBorders>
              <w:top w:val="single" w:sz="18" w:space="0" w:color="000000"/>
              <w:bottom w:val="single" w:sz="12" w:space="0" w:color="000000"/>
            </w:tcBorders>
          </w:tcPr>
          <w:p>
            <w:pPr>
              <w:pStyle w:val="TableParagraph"/>
              <w:rPr>
                <w:sz w:val="22"/>
              </w:rPr>
            </w:pPr>
          </w:p>
        </w:tc>
        <w:tc>
          <w:tcPr>
            <w:tcW w:w="1345" w:type="dxa"/>
            <w:tcBorders>
              <w:top w:val="single" w:sz="18" w:space="0" w:color="000000"/>
              <w:bottom w:val="single" w:sz="12" w:space="0" w:color="000000"/>
            </w:tcBorders>
          </w:tcPr>
          <w:p>
            <w:pPr>
              <w:pStyle w:val="TableParagraph"/>
              <w:spacing w:line="246" w:lineRule="exact"/>
              <w:ind w:left="221"/>
              <w:rPr>
                <w:sz w:val="22"/>
              </w:rPr>
            </w:pPr>
            <w:r>
              <w:rPr>
                <w:sz w:val="22"/>
              </w:rPr>
              <w:t>Pain</w:t>
            </w:r>
            <w:r>
              <w:rPr>
                <w:spacing w:val="14"/>
                <w:sz w:val="22"/>
              </w:rPr>
              <w:t> </w:t>
            </w:r>
            <w:r>
              <w:rPr>
                <w:spacing w:val="-5"/>
                <w:sz w:val="22"/>
              </w:rPr>
              <w:t>(FM</w:t>
            </w:r>
          </w:p>
          <w:p>
            <w:pPr>
              <w:pStyle w:val="TableParagraph"/>
              <w:spacing w:before="11"/>
              <w:ind w:left="209"/>
              <w:rPr>
                <w:sz w:val="22"/>
              </w:rPr>
            </w:pPr>
            <w:r>
              <w:rPr>
                <w:spacing w:val="-2"/>
                <w:w w:val="105"/>
                <w:sz w:val="22"/>
              </w:rPr>
              <w:t>status)</w:t>
            </w:r>
          </w:p>
        </w:tc>
        <w:tc>
          <w:tcPr>
            <w:tcW w:w="1395" w:type="dxa"/>
            <w:tcBorders>
              <w:top w:val="single" w:sz="18" w:space="0" w:color="000000"/>
              <w:bottom w:val="single" w:sz="12" w:space="0" w:color="000000"/>
            </w:tcBorders>
          </w:tcPr>
          <w:p>
            <w:pPr>
              <w:pStyle w:val="TableParagraph"/>
              <w:spacing w:line="251" w:lineRule="exact"/>
              <w:ind w:left="270"/>
              <w:rPr>
                <w:sz w:val="22"/>
              </w:rPr>
            </w:pPr>
            <w:r>
              <w:rPr>
                <w:spacing w:val="-7"/>
                <w:sz w:val="22"/>
              </w:rPr>
              <w:t>BDl-</w:t>
            </w:r>
            <w:r>
              <w:rPr>
                <w:spacing w:val="-5"/>
                <w:sz w:val="22"/>
              </w:rPr>
              <w:t>11</w:t>
            </w:r>
          </w:p>
        </w:tc>
        <w:tc>
          <w:tcPr>
            <w:tcW w:w="1385" w:type="dxa"/>
            <w:tcBorders>
              <w:top w:val="single" w:sz="18" w:space="0" w:color="000000"/>
              <w:bottom w:val="single" w:sz="12" w:space="0" w:color="000000"/>
            </w:tcBorders>
          </w:tcPr>
          <w:p>
            <w:pPr>
              <w:pStyle w:val="TableParagraph"/>
              <w:spacing w:line="246" w:lineRule="exact"/>
              <w:ind w:left="260"/>
              <w:rPr>
                <w:sz w:val="22"/>
              </w:rPr>
            </w:pPr>
            <w:r>
              <w:rPr>
                <w:spacing w:val="-2"/>
                <w:w w:val="105"/>
                <w:sz w:val="22"/>
              </w:rPr>
              <w:t>Overall</w:t>
            </w:r>
          </w:p>
          <w:p>
            <w:pPr>
              <w:pStyle w:val="TableParagraph"/>
              <w:spacing w:line="252" w:lineRule="exact" w:before="16"/>
              <w:ind w:left="271"/>
              <w:rPr>
                <w:sz w:val="22"/>
              </w:rPr>
            </w:pPr>
            <w:r>
              <w:rPr>
                <w:spacing w:val="-2"/>
                <w:w w:val="105"/>
                <w:sz w:val="22"/>
              </w:rPr>
              <w:t>leisure</w:t>
            </w:r>
          </w:p>
        </w:tc>
        <w:tc>
          <w:tcPr>
            <w:tcW w:w="1404" w:type="dxa"/>
            <w:tcBorders>
              <w:top w:val="single" w:sz="18" w:space="0" w:color="000000"/>
              <w:bottom w:val="single" w:sz="12" w:space="0" w:color="000000"/>
            </w:tcBorders>
          </w:tcPr>
          <w:p>
            <w:pPr>
              <w:pStyle w:val="TableParagraph"/>
              <w:spacing w:line="246" w:lineRule="exact"/>
              <w:ind w:left="295"/>
              <w:rPr>
                <w:sz w:val="22"/>
              </w:rPr>
            </w:pPr>
            <w:r>
              <w:rPr>
                <w:spacing w:val="-2"/>
                <w:w w:val="105"/>
                <w:sz w:val="22"/>
              </w:rPr>
              <w:t>Active</w:t>
            </w:r>
          </w:p>
          <w:p>
            <w:pPr>
              <w:pStyle w:val="TableParagraph"/>
              <w:spacing w:line="252" w:lineRule="exact" w:before="16"/>
              <w:ind w:left="294"/>
              <w:rPr>
                <w:sz w:val="22"/>
              </w:rPr>
            </w:pPr>
            <w:r>
              <w:rPr>
                <w:spacing w:val="-2"/>
                <w:w w:val="105"/>
                <w:sz w:val="22"/>
              </w:rPr>
              <w:t>leisure</w:t>
            </w:r>
          </w:p>
        </w:tc>
        <w:tc>
          <w:tcPr>
            <w:tcW w:w="1023" w:type="dxa"/>
            <w:tcBorders>
              <w:top w:val="single" w:sz="18" w:space="0" w:color="000000"/>
              <w:bottom w:val="single" w:sz="12" w:space="0" w:color="000000"/>
            </w:tcBorders>
          </w:tcPr>
          <w:p>
            <w:pPr>
              <w:pStyle w:val="TableParagraph"/>
              <w:spacing w:line="251" w:lineRule="exact"/>
              <w:ind w:left="297"/>
              <w:rPr>
                <w:sz w:val="22"/>
              </w:rPr>
            </w:pPr>
            <w:r>
              <w:rPr>
                <w:spacing w:val="-2"/>
                <w:w w:val="105"/>
                <w:sz w:val="22"/>
              </w:rPr>
              <w:t>Passive</w:t>
            </w:r>
          </w:p>
          <w:p>
            <w:pPr>
              <w:pStyle w:val="TableParagraph"/>
              <w:spacing w:line="247" w:lineRule="exact" w:before="16"/>
              <w:ind w:left="299"/>
              <w:rPr>
                <w:sz w:val="22"/>
              </w:rPr>
            </w:pPr>
            <w:r>
              <w:rPr>
                <w:spacing w:val="-2"/>
                <w:w w:val="105"/>
                <w:sz w:val="22"/>
              </w:rPr>
              <w:t>leisure</w:t>
            </w:r>
          </w:p>
        </w:tc>
      </w:tr>
      <w:tr>
        <w:trPr>
          <w:trHeight w:val="1179" w:hRule="atLeast"/>
        </w:trPr>
        <w:tc>
          <w:tcPr>
            <w:tcW w:w="1924" w:type="dxa"/>
            <w:tcBorders>
              <w:top w:val="single" w:sz="12" w:space="0" w:color="000000"/>
            </w:tcBorders>
          </w:tcPr>
          <w:p>
            <w:pPr>
              <w:pStyle w:val="TableParagraph"/>
              <w:spacing w:before="12"/>
              <w:rPr>
                <w:sz w:val="22"/>
              </w:rPr>
            </w:pPr>
          </w:p>
          <w:p>
            <w:pPr>
              <w:pStyle w:val="TableParagraph"/>
              <w:spacing w:line="249" w:lineRule="auto"/>
              <w:ind w:left="39" w:firstLine="11"/>
              <w:rPr>
                <w:sz w:val="22"/>
              </w:rPr>
            </w:pPr>
            <w:r>
              <w:rPr>
                <w:w w:val="105"/>
                <w:sz w:val="22"/>
              </w:rPr>
              <w:t>Number</w:t>
            </w:r>
            <w:r>
              <w:rPr>
                <w:spacing w:val="-15"/>
                <w:w w:val="105"/>
                <w:sz w:val="22"/>
              </w:rPr>
              <w:t> </w:t>
            </w:r>
            <w:r>
              <w:rPr>
                <w:w w:val="105"/>
                <w:sz w:val="22"/>
              </w:rPr>
              <w:t>of</w:t>
            </w:r>
            <w:r>
              <w:rPr>
                <w:spacing w:val="-14"/>
                <w:w w:val="105"/>
                <w:sz w:val="22"/>
              </w:rPr>
              <w:t> </w:t>
            </w:r>
            <w:r>
              <w:rPr>
                <w:w w:val="105"/>
                <w:sz w:val="22"/>
              </w:rPr>
              <w:t>weeks employed</w:t>
            </w:r>
            <w:r>
              <w:rPr>
                <w:w w:val="105"/>
                <w:sz w:val="22"/>
              </w:rPr>
              <w:t> in</w:t>
            </w:r>
          </w:p>
          <w:p>
            <w:pPr>
              <w:pStyle w:val="TableParagraph"/>
              <w:spacing w:line="251" w:lineRule="exact"/>
              <w:ind w:left="55"/>
              <w:rPr>
                <w:sz w:val="22"/>
              </w:rPr>
            </w:pPr>
            <w:r>
              <w:rPr>
                <w:sz w:val="22"/>
              </w:rPr>
              <w:t>last</w:t>
            </w:r>
            <w:r>
              <w:rPr>
                <w:spacing w:val="19"/>
                <w:sz w:val="22"/>
              </w:rPr>
              <w:t> </w:t>
            </w:r>
            <w:r>
              <w:rPr>
                <w:sz w:val="22"/>
              </w:rPr>
              <w:t>12</w:t>
            </w:r>
            <w:r>
              <w:rPr>
                <w:spacing w:val="13"/>
                <w:sz w:val="22"/>
              </w:rPr>
              <w:t> </w:t>
            </w:r>
            <w:r>
              <w:rPr>
                <w:spacing w:val="-2"/>
                <w:sz w:val="22"/>
              </w:rPr>
              <w:t>months</w:t>
            </w:r>
          </w:p>
        </w:tc>
        <w:tc>
          <w:tcPr>
            <w:tcW w:w="1345" w:type="dxa"/>
            <w:tcBorders>
              <w:top w:val="single" w:sz="12" w:space="0" w:color="000000"/>
            </w:tcBorders>
          </w:tcPr>
          <w:p>
            <w:pPr>
              <w:pStyle w:val="TableParagraph"/>
              <w:spacing w:before="12"/>
              <w:rPr>
                <w:sz w:val="22"/>
              </w:rPr>
            </w:pPr>
          </w:p>
          <w:p>
            <w:pPr>
              <w:pStyle w:val="TableParagraph"/>
              <w:ind w:left="214"/>
              <w:rPr>
                <w:sz w:val="22"/>
              </w:rPr>
            </w:pPr>
            <w:r>
              <w:rPr>
                <w:spacing w:val="-4"/>
                <w:w w:val="105"/>
                <w:sz w:val="22"/>
              </w:rPr>
              <w:t>.056</w:t>
            </w:r>
          </w:p>
        </w:tc>
        <w:tc>
          <w:tcPr>
            <w:tcW w:w="1395" w:type="dxa"/>
            <w:tcBorders>
              <w:top w:val="single" w:sz="12" w:space="0" w:color="000000"/>
            </w:tcBorders>
          </w:tcPr>
          <w:p>
            <w:pPr>
              <w:pStyle w:val="TableParagraph"/>
              <w:spacing w:before="12"/>
              <w:rPr>
                <w:sz w:val="22"/>
              </w:rPr>
            </w:pPr>
          </w:p>
          <w:p>
            <w:pPr>
              <w:pStyle w:val="TableParagraph"/>
              <w:ind w:left="383"/>
              <w:rPr>
                <w:sz w:val="22"/>
              </w:rPr>
            </w:pPr>
            <w:r>
              <w:rPr>
                <w:spacing w:val="-4"/>
                <w:w w:val="105"/>
                <w:sz w:val="22"/>
              </w:rPr>
              <w:t>.007</w:t>
            </w:r>
          </w:p>
        </w:tc>
        <w:tc>
          <w:tcPr>
            <w:tcW w:w="1385" w:type="dxa"/>
            <w:tcBorders>
              <w:top w:val="single" w:sz="12" w:space="0" w:color="000000"/>
            </w:tcBorders>
          </w:tcPr>
          <w:p>
            <w:pPr>
              <w:pStyle w:val="TableParagraph"/>
              <w:spacing w:before="12"/>
              <w:rPr>
                <w:sz w:val="22"/>
              </w:rPr>
            </w:pPr>
          </w:p>
          <w:p>
            <w:pPr>
              <w:pStyle w:val="TableParagraph"/>
              <w:ind w:left="264"/>
              <w:rPr>
                <w:sz w:val="22"/>
              </w:rPr>
            </w:pPr>
            <w:r>
              <w:rPr>
                <w:w w:val="105"/>
                <w:sz w:val="22"/>
              </w:rPr>
              <w:t>-</w:t>
            </w:r>
            <w:r>
              <w:rPr>
                <w:spacing w:val="-4"/>
                <w:w w:val="105"/>
                <w:sz w:val="22"/>
              </w:rPr>
              <w:t>.025</w:t>
            </w:r>
          </w:p>
        </w:tc>
        <w:tc>
          <w:tcPr>
            <w:tcW w:w="1404" w:type="dxa"/>
            <w:tcBorders>
              <w:top w:val="single" w:sz="12" w:space="0" w:color="000000"/>
            </w:tcBorders>
          </w:tcPr>
          <w:p>
            <w:pPr>
              <w:pStyle w:val="TableParagraph"/>
              <w:spacing w:before="12"/>
              <w:rPr>
                <w:sz w:val="22"/>
              </w:rPr>
            </w:pPr>
          </w:p>
          <w:p>
            <w:pPr>
              <w:pStyle w:val="TableParagraph"/>
              <w:ind w:left="406"/>
              <w:rPr>
                <w:sz w:val="22"/>
              </w:rPr>
            </w:pPr>
            <w:r>
              <w:rPr>
                <w:spacing w:val="-4"/>
                <w:w w:val="105"/>
                <w:sz w:val="22"/>
              </w:rPr>
              <w:t>.036</w:t>
            </w:r>
          </w:p>
        </w:tc>
        <w:tc>
          <w:tcPr>
            <w:tcW w:w="1023" w:type="dxa"/>
            <w:tcBorders>
              <w:top w:val="single" w:sz="12" w:space="0" w:color="000000"/>
            </w:tcBorders>
          </w:tcPr>
          <w:p>
            <w:pPr>
              <w:pStyle w:val="TableParagraph"/>
              <w:spacing w:before="16"/>
              <w:rPr>
                <w:sz w:val="22"/>
              </w:rPr>
            </w:pPr>
          </w:p>
          <w:p>
            <w:pPr>
              <w:pStyle w:val="TableParagraph"/>
              <w:spacing w:before="1"/>
              <w:ind w:right="265"/>
              <w:jc w:val="right"/>
              <w:rPr>
                <w:sz w:val="22"/>
              </w:rPr>
            </w:pPr>
            <w:r>
              <w:rPr>
                <w:sz w:val="22"/>
              </w:rPr>
              <w:t>-</w:t>
            </w:r>
            <w:r>
              <w:rPr>
                <w:spacing w:val="-4"/>
                <w:sz w:val="22"/>
              </w:rPr>
              <w:t>.091</w:t>
            </w:r>
          </w:p>
        </w:tc>
      </w:tr>
      <w:tr>
        <w:trPr>
          <w:trHeight w:val="1040" w:hRule="atLeast"/>
        </w:trPr>
        <w:tc>
          <w:tcPr>
            <w:tcW w:w="1924" w:type="dxa"/>
          </w:tcPr>
          <w:p>
            <w:pPr>
              <w:pStyle w:val="TableParagraph"/>
              <w:spacing w:line="247" w:lineRule="auto" w:before="133"/>
              <w:ind w:left="45" w:right="199" w:firstLine="13"/>
              <w:rPr>
                <w:sz w:val="22"/>
              </w:rPr>
            </w:pPr>
            <w:r>
              <w:rPr>
                <w:w w:val="105"/>
                <w:sz w:val="22"/>
              </w:rPr>
              <w:t>Responsibility</w:t>
            </w:r>
            <w:r>
              <w:rPr>
                <w:spacing w:val="-15"/>
                <w:w w:val="105"/>
                <w:sz w:val="22"/>
              </w:rPr>
              <w:t> </w:t>
            </w:r>
            <w:r>
              <w:rPr>
                <w:w w:val="105"/>
                <w:sz w:val="22"/>
              </w:rPr>
              <w:t>for </w:t>
            </w:r>
            <w:r>
              <w:rPr>
                <w:spacing w:val="-2"/>
                <w:w w:val="105"/>
                <w:sz w:val="22"/>
              </w:rPr>
              <w:t>children/ grandchildren</w:t>
            </w:r>
          </w:p>
        </w:tc>
        <w:tc>
          <w:tcPr>
            <w:tcW w:w="1345" w:type="dxa"/>
          </w:tcPr>
          <w:p>
            <w:pPr>
              <w:pStyle w:val="TableParagraph"/>
              <w:spacing w:before="133"/>
              <w:ind w:left="214"/>
              <w:rPr>
                <w:sz w:val="22"/>
              </w:rPr>
            </w:pPr>
            <w:r>
              <w:rPr>
                <w:spacing w:val="-4"/>
                <w:w w:val="105"/>
                <w:sz w:val="22"/>
              </w:rPr>
              <w:t>.050</w:t>
            </w:r>
          </w:p>
        </w:tc>
        <w:tc>
          <w:tcPr>
            <w:tcW w:w="1395" w:type="dxa"/>
          </w:tcPr>
          <w:p>
            <w:pPr>
              <w:pStyle w:val="TableParagraph"/>
              <w:spacing w:before="133"/>
              <w:ind w:left="265"/>
              <w:rPr>
                <w:sz w:val="22"/>
              </w:rPr>
            </w:pPr>
            <w:r>
              <w:rPr>
                <w:w w:val="105"/>
                <w:sz w:val="22"/>
              </w:rPr>
              <w:t>-</w:t>
            </w:r>
            <w:r>
              <w:rPr>
                <w:spacing w:val="-4"/>
                <w:w w:val="105"/>
                <w:sz w:val="22"/>
              </w:rPr>
              <w:t>.005</w:t>
            </w:r>
          </w:p>
        </w:tc>
        <w:tc>
          <w:tcPr>
            <w:tcW w:w="1385" w:type="dxa"/>
          </w:tcPr>
          <w:p>
            <w:pPr>
              <w:pStyle w:val="TableParagraph"/>
              <w:spacing w:before="128"/>
              <w:ind w:left="387"/>
              <w:rPr>
                <w:sz w:val="22"/>
              </w:rPr>
            </w:pPr>
            <w:r>
              <w:rPr>
                <w:spacing w:val="-4"/>
                <w:w w:val="105"/>
                <w:sz w:val="22"/>
              </w:rPr>
              <w:t>.062</w:t>
            </w:r>
          </w:p>
        </w:tc>
        <w:tc>
          <w:tcPr>
            <w:tcW w:w="1404" w:type="dxa"/>
          </w:tcPr>
          <w:p>
            <w:pPr>
              <w:pStyle w:val="TableParagraph"/>
              <w:spacing w:before="128"/>
              <w:ind w:left="410"/>
              <w:rPr>
                <w:sz w:val="22"/>
              </w:rPr>
            </w:pPr>
            <w:r>
              <w:rPr>
                <w:spacing w:val="-4"/>
                <w:w w:val="105"/>
                <w:sz w:val="22"/>
              </w:rPr>
              <w:t>.114</w:t>
            </w:r>
          </w:p>
        </w:tc>
        <w:tc>
          <w:tcPr>
            <w:tcW w:w="1023" w:type="dxa"/>
          </w:tcPr>
          <w:p>
            <w:pPr>
              <w:pStyle w:val="TableParagraph"/>
              <w:spacing w:before="133"/>
              <w:ind w:right="255"/>
              <w:jc w:val="right"/>
              <w:rPr>
                <w:sz w:val="22"/>
              </w:rPr>
            </w:pPr>
            <w:r>
              <w:rPr>
                <w:sz w:val="22"/>
              </w:rPr>
              <w:t>-</w:t>
            </w:r>
            <w:r>
              <w:rPr>
                <w:spacing w:val="-4"/>
                <w:sz w:val="22"/>
              </w:rPr>
              <w:t>.025</w:t>
            </w:r>
          </w:p>
        </w:tc>
      </w:tr>
      <w:tr>
        <w:trPr>
          <w:trHeight w:val="780" w:hRule="atLeast"/>
        </w:trPr>
        <w:tc>
          <w:tcPr>
            <w:tcW w:w="1924" w:type="dxa"/>
          </w:tcPr>
          <w:p>
            <w:pPr>
              <w:pStyle w:val="TableParagraph"/>
              <w:spacing w:line="247" w:lineRule="auto" w:before="131"/>
              <w:ind w:left="49" w:right="200" w:firstLine="8"/>
              <w:rPr>
                <w:sz w:val="22"/>
              </w:rPr>
            </w:pPr>
            <w:r>
              <w:rPr>
                <w:w w:val="105"/>
                <w:sz w:val="22"/>
              </w:rPr>
              <w:t>Responsibility</w:t>
            </w:r>
            <w:r>
              <w:rPr>
                <w:spacing w:val="-15"/>
                <w:w w:val="105"/>
                <w:sz w:val="22"/>
              </w:rPr>
              <w:t> </w:t>
            </w:r>
            <w:r>
              <w:rPr>
                <w:w w:val="105"/>
                <w:sz w:val="22"/>
              </w:rPr>
              <w:t>for other adults</w:t>
            </w:r>
          </w:p>
        </w:tc>
        <w:tc>
          <w:tcPr>
            <w:tcW w:w="1345" w:type="dxa"/>
          </w:tcPr>
          <w:p>
            <w:pPr>
              <w:pStyle w:val="TableParagraph"/>
              <w:spacing w:before="131"/>
              <w:ind w:left="218"/>
              <w:rPr>
                <w:sz w:val="22"/>
              </w:rPr>
            </w:pPr>
            <w:r>
              <w:rPr>
                <w:spacing w:val="-4"/>
                <w:w w:val="105"/>
                <w:sz w:val="22"/>
              </w:rPr>
              <w:t>.007</w:t>
            </w:r>
          </w:p>
        </w:tc>
        <w:tc>
          <w:tcPr>
            <w:tcW w:w="1395" w:type="dxa"/>
          </w:tcPr>
          <w:p>
            <w:pPr>
              <w:pStyle w:val="TableParagraph"/>
              <w:spacing w:before="131"/>
              <w:ind w:left="388"/>
              <w:rPr>
                <w:sz w:val="22"/>
              </w:rPr>
            </w:pPr>
            <w:r>
              <w:rPr>
                <w:spacing w:val="-4"/>
                <w:w w:val="105"/>
                <w:sz w:val="22"/>
              </w:rPr>
              <w:t>.050</w:t>
            </w:r>
          </w:p>
        </w:tc>
        <w:tc>
          <w:tcPr>
            <w:tcW w:w="1385" w:type="dxa"/>
          </w:tcPr>
          <w:p>
            <w:pPr>
              <w:pStyle w:val="TableParagraph"/>
              <w:spacing w:before="131"/>
              <w:ind w:left="268"/>
              <w:rPr>
                <w:sz w:val="22"/>
              </w:rPr>
            </w:pPr>
            <w:r>
              <w:rPr>
                <w:w w:val="105"/>
                <w:sz w:val="22"/>
              </w:rPr>
              <w:t>-</w:t>
            </w:r>
            <w:r>
              <w:rPr>
                <w:spacing w:val="-4"/>
                <w:w w:val="105"/>
                <w:sz w:val="22"/>
              </w:rPr>
              <w:t>.003</w:t>
            </w:r>
          </w:p>
        </w:tc>
        <w:tc>
          <w:tcPr>
            <w:tcW w:w="1404" w:type="dxa"/>
          </w:tcPr>
          <w:p>
            <w:pPr>
              <w:pStyle w:val="TableParagraph"/>
              <w:spacing w:before="126"/>
              <w:ind w:left="292"/>
              <w:rPr>
                <w:sz w:val="22"/>
              </w:rPr>
            </w:pPr>
            <w:r>
              <w:rPr>
                <w:w w:val="105"/>
                <w:sz w:val="22"/>
              </w:rPr>
              <w:t>-</w:t>
            </w:r>
            <w:r>
              <w:rPr>
                <w:spacing w:val="-4"/>
                <w:w w:val="105"/>
                <w:sz w:val="22"/>
              </w:rPr>
              <w:t>.013</w:t>
            </w:r>
          </w:p>
        </w:tc>
        <w:tc>
          <w:tcPr>
            <w:tcW w:w="1023" w:type="dxa"/>
          </w:tcPr>
          <w:p>
            <w:pPr>
              <w:pStyle w:val="TableParagraph"/>
              <w:spacing w:before="131"/>
              <w:ind w:right="208"/>
              <w:jc w:val="right"/>
              <w:rPr>
                <w:sz w:val="22"/>
              </w:rPr>
            </w:pPr>
            <w:r>
              <w:rPr>
                <w:spacing w:val="-4"/>
                <w:w w:val="105"/>
                <w:sz w:val="22"/>
              </w:rPr>
              <w:t>.018</w:t>
            </w:r>
          </w:p>
        </w:tc>
      </w:tr>
      <w:tr>
        <w:trPr>
          <w:trHeight w:val="650" w:hRule="atLeast"/>
        </w:trPr>
        <w:tc>
          <w:tcPr>
            <w:tcW w:w="1924" w:type="dxa"/>
          </w:tcPr>
          <w:p>
            <w:pPr>
              <w:pStyle w:val="TableParagraph"/>
              <w:spacing w:line="260" w:lineRule="atLeast" w:before="110"/>
              <w:ind w:left="56" w:right="512" w:firstLine="2"/>
              <w:rPr>
                <w:sz w:val="22"/>
              </w:rPr>
            </w:pPr>
            <w:r>
              <w:rPr>
                <w:sz w:val="22"/>
              </w:rPr>
              <w:t>Fatigue in past </w:t>
            </w:r>
            <w:r>
              <w:rPr>
                <w:spacing w:val="-4"/>
                <w:sz w:val="22"/>
              </w:rPr>
              <w:t>week</w:t>
            </w:r>
          </w:p>
        </w:tc>
        <w:tc>
          <w:tcPr>
            <w:tcW w:w="1345" w:type="dxa"/>
          </w:tcPr>
          <w:p>
            <w:pPr>
              <w:pStyle w:val="TableParagraph"/>
              <w:spacing w:before="133"/>
              <w:ind w:left="218"/>
              <w:rPr>
                <w:sz w:val="22"/>
              </w:rPr>
            </w:pPr>
            <w:r>
              <w:rPr>
                <w:spacing w:val="-2"/>
                <w:w w:val="105"/>
                <w:sz w:val="22"/>
              </w:rPr>
              <w:t>.762***</w:t>
            </w:r>
          </w:p>
        </w:tc>
        <w:tc>
          <w:tcPr>
            <w:tcW w:w="1395" w:type="dxa"/>
          </w:tcPr>
          <w:p>
            <w:pPr>
              <w:pStyle w:val="TableParagraph"/>
              <w:spacing w:before="128"/>
              <w:ind w:left="393"/>
              <w:rPr>
                <w:sz w:val="22"/>
              </w:rPr>
            </w:pPr>
            <w:r>
              <w:rPr>
                <w:spacing w:val="-2"/>
                <w:w w:val="105"/>
                <w:sz w:val="22"/>
              </w:rPr>
              <w:t>.695***</w:t>
            </w:r>
          </w:p>
        </w:tc>
        <w:tc>
          <w:tcPr>
            <w:tcW w:w="1385" w:type="dxa"/>
          </w:tcPr>
          <w:p>
            <w:pPr>
              <w:pStyle w:val="TableParagraph"/>
              <w:spacing w:before="128"/>
              <w:ind w:left="268"/>
              <w:rPr>
                <w:sz w:val="22"/>
              </w:rPr>
            </w:pPr>
            <w:r>
              <w:rPr>
                <w:w w:val="105"/>
                <w:sz w:val="22"/>
              </w:rPr>
              <w:t>-</w:t>
            </w:r>
            <w:r>
              <w:rPr>
                <w:spacing w:val="-2"/>
                <w:w w:val="105"/>
                <w:sz w:val="22"/>
              </w:rPr>
              <w:t>.318***</w:t>
            </w:r>
          </w:p>
        </w:tc>
        <w:tc>
          <w:tcPr>
            <w:tcW w:w="1404" w:type="dxa"/>
          </w:tcPr>
          <w:p>
            <w:pPr>
              <w:pStyle w:val="TableParagraph"/>
              <w:spacing w:before="128"/>
              <w:ind w:left="297"/>
              <w:rPr>
                <w:sz w:val="22"/>
              </w:rPr>
            </w:pPr>
            <w:r>
              <w:rPr>
                <w:sz w:val="22"/>
              </w:rPr>
              <w:t>-</w:t>
            </w:r>
            <w:r>
              <w:rPr>
                <w:spacing w:val="-2"/>
                <w:sz w:val="22"/>
              </w:rPr>
              <w:t>.436***</w:t>
            </w:r>
          </w:p>
        </w:tc>
        <w:tc>
          <w:tcPr>
            <w:tcW w:w="1023" w:type="dxa"/>
          </w:tcPr>
          <w:p>
            <w:pPr>
              <w:pStyle w:val="TableParagraph"/>
              <w:spacing w:before="133"/>
              <w:ind w:right="246"/>
              <w:jc w:val="right"/>
              <w:rPr>
                <w:sz w:val="22"/>
              </w:rPr>
            </w:pPr>
            <w:r>
              <w:rPr>
                <w:w w:val="105"/>
                <w:sz w:val="22"/>
              </w:rPr>
              <w:t>-</w:t>
            </w:r>
            <w:r>
              <w:rPr>
                <w:spacing w:val="-4"/>
                <w:w w:val="105"/>
                <w:sz w:val="22"/>
              </w:rPr>
              <w:t>.033</w:t>
            </w:r>
          </w:p>
        </w:tc>
      </w:tr>
    </w:tbl>
    <w:p>
      <w:pPr>
        <w:pStyle w:val="BodyText"/>
        <w:spacing w:before="19"/>
        <w:rPr>
          <w:sz w:val="20"/>
        </w:rPr>
      </w:pPr>
      <w:r>
        <w:rPr/>
        <mc:AlternateContent>
          <mc:Choice Requires="wps">
            <w:drawing>
              <wp:anchor distT="0" distB="0" distL="0" distR="0" allowOverlap="1" layoutInCell="1" locked="0" behindDoc="1" simplePos="0" relativeHeight="487594496">
                <wp:simplePos x="0" y="0"/>
                <wp:positionH relativeFrom="page">
                  <wp:posOffset>1404240</wp:posOffset>
                </wp:positionH>
                <wp:positionV relativeFrom="paragraph">
                  <wp:posOffset>173934</wp:posOffset>
                </wp:positionV>
                <wp:extent cx="537337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373370" cy="1270"/>
                        </a:xfrm>
                        <a:custGeom>
                          <a:avLst/>
                          <a:gdLst/>
                          <a:ahLst/>
                          <a:cxnLst/>
                          <a:rect l="l" t="t" r="r" b="b"/>
                          <a:pathLst>
                            <a:path w="5373370" h="0">
                              <a:moveTo>
                                <a:pt x="0" y="0"/>
                              </a:moveTo>
                              <a:lnTo>
                                <a:pt x="5372746" y="0"/>
                              </a:lnTo>
                            </a:path>
                          </a:pathLst>
                        </a:custGeom>
                        <a:ln w="1831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0.570129pt;margin-top:13.695649pt;width:423.1pt;height:.1pt;mso-position-horizontal-relative:page;mso-position-vertical-relative:paragraph;z-index:-15721984;mso-wrap-distance-left:0;mso-wrap-distance-right:0" id="docshape37" coordorigin="2211,274" coordsize="8462,0" path="m2211,274l10672,274e" filled="false" stroked="true" strokeweight="1.441754pt" strokecolor="#000000">
                <v:path arrowok="t"/>
                <v:stroke dashstyle="solid"/>
                <w10:wrap type="topAndBottom"/>
              </v:shape>
            </w:pict>
          </mc:Fallback>
        </mc:AlternateContent>
      </w:r>
    </w:p>
    <w:p>
      <w:pPr>
        <w:spacing w:before="1"/>
        <w:ind w:left="486" w:right="0" w:firstLine="0"/>
        <w:jc w:val="left"/>
        <w:rPr>
          <w:sz w:val="22"/>
        </w:rPr>
      </w:pPr>
      <w:r>
        <w:rPr>
          <w:i/>
          <w:w w:val="105"/>
          <w:sz w:val="22"/>
        </w:rPr>
        <w:t>Note.</w:t>
      </w:r>
      <w:r>
        <w:rPr>
          <w:i/>
          <w:spacing w:val="-11"/>
          <w:w w:val="105"/>
          <w:sz w:val="22"/>
        </w:rPr>
        <w:t> </w:t>
      </w:r>
      <w:r>
        <w:rPr>
          <w:i/>
          <w:w w:val="105"/>
          <w:sz w:val="22"/>
        </w:rPr>
        <w:t>*p</w:t>
      </w:r>
      <w:r>
        <w:rPr>
          <w:i/>
          <w:spacing w:val="21"/>
          <w:w w:val="105"/>
          <w:sz w:val="22"/>
        </w:rPr>
        <w:t> </w:t>
      </w:r>
      <w:r>
        <w:rPr>
          <w:w w:val="105"/>
          <w:sz w:val="21"/>
        </w:rPr>
        <w:t>&lt;</w:t>
      </w:r>
      <w:r>
        <w:rPr>
          <w:spacing w:val="6"/>
          <w:w w:val="105"/>
          <w:sz w:val="21"/>
        </w:rPr>
        <w:t> </w:t>
      </w:r>
      <w:r>
        <w:rPr>
          <w:w w:val="105"/>
          <w:sz w:val="22"/>
        </w:rPr>
        <w:t>.05,</w:t>
      </w:r>
      <w:r>
        <w:rPr>
          <w:spacing w:val="-8"/>
          <w:w w:val="105"/>
          <w:sz w:val="22"/>
        </w:rPr>
        <w:t> </w:t>
      </w:r>
      <w:r>
        <w:rPr>
          <w:i/>
          <w:w w:val="105"/>
          <w:sz w:val="22"/>
        </w:rPr>
        <w:t>**p</w:t>
      </w:r>
      <w:r>
        <w:rPr>
          <w:i/>
          <w:spacing w:val="30"/>
          <w:w w:val="105"/>
          <w:sz w:val="22"/>
        </w:rPr>
        <w:t> </w:t>
      </w:r>
      <w:r>
        <w:rPr>
          <w:w w:val="105"/>
          <w:sz w:val="21"/>
        </w:rPr>
        <w:t>&lt;</w:t>
      </w:r>
      <w:r>
        <w:rPr>
          <w:spacing w:val="2"/>
          <w:w w:val="105"/>
          <w:sz w:val="21"/>
        </w:rPr>
        <w:t> </w:t>
      </w:r>
      <w:r>
        <w:rPr>
          <w:w w:val="105"/>
          <w:sz w:val="22"/>
        </w:rPr>
        <w:t>.01,</w:t>
      </w:r>
      <w:r>
        <w:rPr>
          <w:spacing w:val="-15"/>
          <w:w w:val="105"/>
          <w:sz w:val="22"/>
        </w:rPr>
        <w:t> </w:t>
      </w:r>
      <w:r>
        <w:rPr>
          <w:i/>
          <w:w w:val="105"/>
          <w:sz w:val="22"/>
        </w:rPr>
        <w:t>***p</w:t>
      </w:r>
      <w:r>
        <w:rPr>
          <w:i/>
          <w:spacing w:val="7"/>
          <w:w w:val="105"/>
          <w:sz w:val="22"/>
        </w:rPr>
        <w:t> </w:t>
      </w:r>
      <w:r>
        <w:rPr>
          <w:w w:val="105"/>
          <w:sz w:val="21"/>
        </w:rPr>
        <w:t>&lt;</w:t>
      </w:r>
      <w:r>
        <w:rPr>
          <w:spacing w:val="-2"/>
          <w:w w:val="105"/>
          <w:sz w:val="21"/>
        </w:rPr>
        <w:t> </w:t>
      </w:r>
      <w:r>
        <w:rPr>
          <w:spacing w:val="-2"/>
          <w:w w:val="105"/>
          <w:sz w:val="22"/>
        </w:rPr>
        <w:t>.001.</w:t>
      </w:r>
    </w:p>
    <w:p>
      <w:pPr>
        <w:pStyle w:val="BodyText"/>
      </w:pPr>
    </w:p>
    <w:p>
      <w:pPr>
        <w:pStyle w:val="BodyText"/>
        <w:spacing w:before="24"/>
      </w:pPr>
    </w:p>
    <w:p>
      <w:pPr>
        <w:pStyle w:val="BodyText"/>
        <w:spacing w:line="477" w:lineRule="auto"/>
        <w:ind w:left="482" w:firstLine="5"/>
        <w:rPr>
          <w:i/>
        </w:rPr>
      </w:pPr>
      <w:r>
        <w:rPr>
          <w:w w:val="105"/>
        </w:rPr>
        <w:t>Number of</w:t>
      </w:r>
      <w:r>
        <w:rPr>
          <w:spacing w:val="-7"/>
          <w:w w:val="105"/>
        </w:rPr>
        <w:t> </w:t>
      </w:r>
      <w:r>
        <w:rPr>
          <w:w w:val="105"/>
        </w:rPr>
        <w:t>weeks</w:t>
      </w:r>
      <w:r>
        <w:rPr>
          <w:spacing w:val="-6"/>
          <w:w w:val="105"/>
        </w:rPr>
        <w:t> </w:t>
      </w:r>
      <w:r>
        <w:rPr>
          <w:w w:val="105"/>
        </w:rPr>
        <w:t>employed</w:t>
      </w:r>
      <w:r>
        <w:rPr>
          <w:spacing w:val="25"/>
          <w:w w:val="105"/>
        </w:rPr>
        <w:t> </w:t>
      </w:r>
      <w:r>
        <w:rPr>
          <w:w w:val="105"/>
        </w:rPr>
        <w:t>in the past 12 months</w:t>
      </w:r>
      <w:r>
        <w:rPr>
          <w:spacing w:val="-6"/>
          <w:w w:val="105"/>
        </w:rPr>
        <w:t> </w:t>
      </w:r>
      <w:r>
        <w:rPr>
          <w:w w:val="105"/>
        </w:rPr>
        <w:t>or</w:t>
      </w:r>
      <w:r>
        <w:rPr>
          <w:spacing w:val="-7"/>
          <w:w w:val="105"/>
        </w:rPr>
        <w:t> </w:t>
      </w:r>
      <w:r>
        <w:rPr>
          <w:w w:val="105"/>
        </w:rPr>
        <w:t>caregiving</w:t>
      </w:r>
      <w:r>
        <w:rPr>
          <w:spacing w:val="25"/>
          <w:w w:val="105"/>
        </w:rPr>
        <w:t> </w:t>
      </w:r>
      <w:r>
        <w:rPr>
          <w:w w:val="105"/>
        </w:rPr>
        <w:t>responsibilities</w:t>
      </w:r>
      <w:r>
        <w:rPr>
          <w:spacing w:val="-9"/>
          <w:w w:val="105"/>
        </w:rPr>
        <w:t> </w:t>
      </w:r>
      <w:r>
        <w:rPr>
          <w:w w:val="105"/>
        </w:rPr>
        <w:t>were not significantly</w:t>
      </w:r>
      <w:r>
        <w:rPr>
          <w:w w:val="105"/>
        </w:rPr>
        <w:t> related to any of</w:t>
      </w:r>
      <w:r>
        <w:rPr>
          <w:spacing w:val="-1"/>
          <w:w w:val="105"/>
        </w:rPr>
        <w:t> </w:t>
      </w:r>
      <w:r>
        <w:rPr>
          <w:w w:val="105"/>
        </w:rPr>
        <w:t>the key variables. Greater fatigue in the past week was associated</w:t>
      </w:r>
      <w:r>
        <w:rPr>
          <w:spacing w:val="-2"/>
          <w:w w:val="105"/>
        </w:rPr>
        <w:t> </w:t>
      </w:r>
      <w:r>
        <w:rPr>
          <w:w w:val="105"/>
        </w:rPr>
        <w:t>with FM</w:t>
      </w:r>
      <w:r>
        <w:rPr>
          <w:spacing w:val="-1"/>
          <w:w w:val="105"/>
        </w:rPr>
        <w:t> </w:t>
      </w:r>
      <w:r>
        <w:rPr>
          <w:w w:val="105"/>
        </w:rPr>
        <w:t>status</w:t>
      </w:r>
      <w:r>
        <w:rPr>
          <w:spacing w:val="-15"/>
          <w:w w:val="105"/>
        </w:rPr>
        <w:t> </w:t>
      </w:r>
      <w:r>
        <w:rPr>
          <w:rFonts w:ascii="Arial"/>
          <w:i/>
          <w:w w:val="105"/>
          <w:sz w:val="20"/>
        </w:rPr>
        <w:t>(r</w:t>
      </w:r>
      <w:r>
        <w:rPr>
          <w:rFonts w:ascii="Arial"/>
          <w:i/>
          <w:spacing w:val="29"/>
          <w:w w:val="105"/>
          <w:sz w:val="20"/>
        </w:rPr>
        <w:t> </w:t>
      </w:r>
      <w:r>
        <w:rPr>
          <w:w w:val="105"/>
          <w:sz w:val="26"/>
        </w:rPr>
        <w:t>=</w:t>
      </w:r>
      <w:r>
        <w:rPr>
          <w:spacing w:val="-18"/>
          <w:w w:val="105"/>
          <w:sz w:val="26"/>
        </w:rPr>
        <w:t> </w:t>
      </w:r>
      <w:r>
        <w:rPr>
          <w:w w:val="105"/>
          <w:sz w:val="26"/>
        </w:rPr>
        <w:t>.</w:t>
      </w:r>
      <w:r>
        <w:rPr>
          <w:w w:val="105"/>
        </w:rPr>
        <w:t>76, </w:t>
      </w:r>
      <w:r>
        <w:rPr>
          <w:i/>
          <w:w w:val="105"/>
        </w:rPr>
        <w:t>N</w:t>
      </w:r>
      <w:r>
        <w:rPr>
          <w:i/>
          <w:spacing w:val="-5"/>
          <w:w w:val="105"/>
        </w:rPr>
        <w:t> </w:t>
      </w:r>
      <w:r>
        <w:rPr>
          <w:w w:val="105"/>
          <w:sz w:val="26"/>
        </w:rPr>
        <w:t>=</w:t>
      </w:r>
      <w:r>
        <w:rPr>
          <w:spacing w:val="-18"/>
          <w:w w:val="105"/>
          <w:sz w:val="26"/>
        </w:rPr>
        <w:t> </w:t>
      </w:r>
      <w:r>
        <w:rPr>
          <w:w w:val="105"/>
        </w:rPr>
        <w:t>145,</w:t>
      </w:r>
      <w:r>
        <w:rPr>
          <w:spacing w:val="-4"/>
          <w:w w:val="105"/>
        </w:rPr>
        <w:t> </w:t>
      </w:r>
      <w:r>
        <w:rPr>
          <w:i/>
          <w:w w:val="105"/>
        </w:rPr>
        <w:t>p</w:t>
      </w:r>
      <w:r>
        <w:rPr>
          <w:i/>
          <w:spacing w:val="-1"/>
          <w:w w:val="105"/>
        </w:rPr>
        <w:t> </w:t>
      </w:r>
      <w:r>
        <w:rPr>
          <w:w w:val="105"/>
          <w:sz w:val="21"/>
        </w:rPr>
        <w:t>&lt;</w:t>
      </w:r>
      <w:r>
        <w:rPr>
          <w:spacing w:val="-9"/>
          <w:w w:val="105"/>
          <w:sz w:val="21"/>
        </w:rPr>
        <w:t> </w:t>
      </w:r>
      <w:r>
        <w:rPr>
          <w:w w:val="105"/>
        </w:rPr>
        <w:t>.001)</w:t>
      </w:r>
      <w:r>
        <w:rPr>
          <w:spacing w:val="-3"/>
          <w:w w:val="105"/>
        </w:rPr>
        <w:t> </w:t>
      </w:r>
      <w:r>
        <w:rPr>
          <w:w w:val="105"/>
        </w:rPr>
        <w:t>and</w:t>
      </w:r>
      <w:r>
        <w:rPr>
          <w:spacing w:val="-5"/>
          <w:w w:val="105"/>
        </w:rPr>
        <w:t> </w:t>
      </w:r>
      <w:r>
        <w:rPr>
          <w:w w:val="105"/>
        </w:rPr>
        <w:t>depression</w:t>
      </w:r>
      <w:r>
        <w:rPr>
          <w:spacing w:val="11"/>
          <w:w w:val="105"/>
        </w:rPr>
        <w:t> </w:t>
      </w:r>
      <w:r>
        <w:rPr>
          <w:w w:val="105"/>
        </w:rPr>
        <w:t>(r </w:t>
      </w:r>
      <w:r>
        <w:rPr>
          <w:w w:val="105"/>
          <w:sz w:val="26"/>
        </w:rPr>
        <w:t>=</w:t>
      </w:r>
      <w:r>
        <w:rPr>
          <w:spacing w:val="-18"/>
          <w:w w:val="105"/>
          <w:sz w:val="26"/>
        </w:rPr>
        <w:t> </w:t>
      </w:r>
      <w:r>
        <w:rPr>
          <w:w w:val="105"/>
          <w:sz w:val="26"/>
        </w:rPr>
        <w:t>.</w:t>
      </w:r>
      <w:r>
        <w:rPr>
          <w:w w:val="105"/>
        </w:rPr>
        <w:t>70,</w:t>
      </w:r>
      <w:r>
        <w:rPr>
          <w:spacing w:val="-5"/>
          <w:w w:val="105"/>
        </w:rPr>
        <w:t> </w:t>
      </w:r>
      <w:r>
        <w:rPr>
          <w:i/>
          <w:w w:val="105"/>
        </w:rPr>
        <w:t>N</w:t>
      </w:r>
      <w:r>
        <w:rPr>
          <w:i/>
          <w:spacing w:val="-5"/>
          <w:w w:val="105"/>
        </w:rPr>
        <w:t> </w:t>
      </w:r>
      <w:r>
        <w:rPr>
          <w:w w:val="105"/>
          <w:sz w:val="26"/>
        </w:rPr>
        <w:t>=</w:t>
      </w:r>
      <w:r>
        <w:rPr>
          <w:spacing w:val="-13"/>
          <w:w w:val="105"/>
          <w:sz w:val="26"/>
        </w:rPr>
        <w:t> </w:t>
      </w:r>
      <w:r>
        <w:rPr>
          <w:w w:val="105"/>
        </w:rPr>
        <w:t>145,</w:t>
      </w:r>
      <w:r>
        <w:rPr>
          <w:spacing w:val="-9"/>
          <w:w w:val="105"/>
        </w:rPr>
        <w:t> </w:t>
      </w:r>
      <w:r>
        <w:rPr>
          <w:i/>
          <w:w w:val="105"/>
        </w:rPr>
        <w:t>p</w:t>
      </w:r>
    </w:p>
    <w:p>
      <w:pPr>
        <w:pStyle w:val="BodyText"/>
        <w:spacing w:line="223" w:lineRule="exact"/>
        <w:ind w:left="490"/>
      </w:pPr>
      <w:r>
        <w:rPr>
          <w:w w:val="105"/>
          <w:sz w:val="21"/>
        </w:rPr>
        <w:t>&lt;</w:t>
      </w:r>
      <w:r>
        <w:rPr>
          <w:spacing w:val="-4"/>
          <w:w w:val="105"/>
          <w:sz w:val="21"/>
        </w:rPr>
        <w:t> </w:t>
      </w:r>
      <w:r>
        <w:rPr>
          <w:w w:val="105"/>
        </w:rPr>
        <w:t>.001).</w:t>
      </w:r>
      <w:r>
        <w:rPr>
          <w:spacing w:val="-2"/>
          <w:w w:val="105"/>
        </w:rPr>
        <w:t> </w:t>
      </w:r>
      <w:r>
        <w:rPr>
          <w:w w:val="105"/>
        </w:rPr>
        <w:t>The</w:t>
      </w:r>
      <w:r>
        <w:rPr>
          <w:spacing w:val="-8"/>
          <w:w w:val="105"/>
        </w:rPr>
        <w:t> </w:t>
      </w:r>
      <w:r>
        <w:rPr>
          <w:w w:val="105"/>
        </w:rPr>
        <w:t>effect</w:t>
      </w:r>
      <w:r>
        <w:rPr>
          <w:spacing w:val="11"/>
          <w:w w:val="105"/>
        </w:rPr>
        <w:t> </w:t>
      </w:r>
      <w:r>
        <w:rPr>
          <w:w w:val="105"/>
        </w:rPr>
        <w:t>size</w:t>
      </w:r>
      <w:r>
        <w:rPr>
          <w:spacing w:val="7"/>
          <w:w w:val="105"/>
        </w:rPr>
        <w:t> </w:t>
      </w:r>
      <w:r>
        <w:rPr>
          <w:w w:val="105"/>
        </w:rPr>
        <w:t>in</w:t>
      </w:r>
      <w:r>
        <w:rPr>
          <w:spacing w:val="5"/>
          <w:w w:val="105"/>
        </w:rPr>
        <w:t> </w:t>
      </w:r>
      <w:r>
        <w:rPr>
          <w:w w:val="105"/>
        </w:rPr>
        <w:t>these</w:t>
      </w:r>
      <w:r>
        <w:rPr>
          <w:spacing w:val="-3"/>
          <w:w w:val="105"/>
        </w:rPr>
        <w:t> </w:t>
      </w:r>
      <w:r>
        <w:rPr>
          <w:w w:val="105"/>
        </w:rPr>
        <w:t>correlations</w:t>
      </w:r>
      <w:r>
        <w:rPr>
          <w:spacing w:val="11"/>
          <w:w w:val="105"/>
        </w:rPr>
        <w:t> </w:t>
      </w:r>
      <w:r>
        <w:rPr>
          <w:w w:val="105"/>
        </w:rPr>
        <w:t>was</w:t>
      </w:r>
      <w:r>
        <w:rPr>
          <w:spacing w:val="-6"/>
          <w:w w:val="105"/>
        </w:rPr>
        <w:t> </w:t>
      </w:r>
      <w:r>
        <w:rPr>
          <w:w w:val="105"/>
        </w:rPr>
        <w:t>strong</w:t>
      </w:r>
      <w:r>
        <w:rPr>
          <w:spacing w:val="-2"/>
          <w:w w:val="105"/>
        </w:rPr>
        <w:t> </w:t>
      </w:r>
      <w:r>
        <w:rPr>
          <w:w w:val="105"/>
        </w:rPr>
        <w:t>and</w:t>
      </w:r>
      <w:r>
        <w:rPr>
          <w:spacing w:val="15"/>
          <w:w w:val="105"/>
        </w:rPr>
        <w:t> </w:t>
      </w:r>
      <w:r>
        <w:rPr>
          <w:w w:val="105"/>
        </w:rPr>
        <w:t>58%</w:t>
      </w:r>
      <w:r>
        <w:rPr>
          <w:spacing w:val="-9"/>
          <w:w w:val="105"/>
        </w:rPr>
        <w:t> </w:t>
      </w:r>
      <w:r>
        <w:rPr>
          <w:w w:val="105"/>
        </w:rPr>
        <w:t>and</w:t>
      </w:r>
      <w:r>
        <w:rPr>
          <w:spacing w:val="8"/>
          <w:w w:val="105"/>
        </w:rPr>
        <w:t> </w:t>
      </w:r>
      <w:r>
        <w:rPr>
          <w:w w:val="105"/>
        </w:rPr>
        <w:t>48%</w:t>
      </w:r>
      <w:r>
        <w:rPr>
          <w:spacing w:val="-5"/>
          <w:w w:val="105"/>
        </w:rPr>
        <w:t> </w:t>
      </w:r>
      <w:r>
        <w:rPr>
          <w:spacing w:val="-2"/>
          <w:w w:val="105"/>
        </w:rPr>
        <w:t>(respectively)</w:t>
      </w:r>
    </w:p>
    <w:p>
      <w:pPr>
        <w:pStyle w:val="BodyText"/>
        <w:spacing w:before="13"/>
      </w:pPr>
    </w:p>
    <w:p>
      <w:pPr>
        <w:pStyle w:val="BodyText"/>
        <w:spacing w:line="456" w:lineRule="auto"/>
        <w:ind w:left="491" w:right="142" w:hanging="9"/>
        <w:rPr>
          <w:i/>
        </w:rPr>
      </w:pPr>
      <w:r>
        <w:rPr>
          <w:w w:val="105"/>
        </w:rPr>
        <w:t>of the variance was explained. In addition, negative significant correlations between fatigue and</w:t>
      </w:r>
      <w:r>
        <w:rPr>
          <w:spacing w:val="13"/>
          <w:w w:val="105"/>
        </w:rPr>
        <w:t> </w:t>
      </w:r>
      <w:r>
        <w:rPr>
          <w:w w:val="105"/>
        </w:rPr>
        <w:t>both</w:t>
      </w:r>
      <w:r>
        <w:rPr>
          <w:spacing w:val="-2"/>
          <w:w w:val="105"/>
        </w:rPr>
        <w:t> </w:t>
      </w:r>
      <w:r>
        <w:rPr>
          <w:w w:val="105"/>
        </w:rPr>
        <w:t>overall leisure</w:t>
      </w:r>
      <w:r>
        <w:rPr>
          <w:spacing w:val="-15"/>
          <w:w w:val="105"/>
        </w:rPr>
        <w:t> </w:t>
      </w:r>
      <w:r>
        <w:rPr>
          <w:i/>
          <w:w w:val="105"/>
        </w:rPr>
        <w:t>(r </w:t>
      </w:r>
      <w:r>
        <w:rPr>
          <w:w w:val="105"/>
          <w:sz w:val="26"/>
        </w:rPr>
        <w:t>=</w:t>
      </w:r>
      <w:r>
        <w:rPr>
          <w:spacing w:val="-15"/>
          <w:w w:val="105"/>
          <w:sz w:val="26"/>
        </w:rPr>
        <w:t> </w:t>
      </w:r>
      <w:r>
        <w:rPr>
          <w:w w:val="105"/>
        </w:rPr>
        <w:t>-.32, </w:t>
      </w:r>
      <w:r>
        <w:rPr>
          <w:i/>
          <w:w w:val="105"/>
        </w:rPr>
        <w:t>N</w:t>
      </w:r>
      <w:r>
        <w:rPr>
          <w:i/>
          <w:spacing w:val="-2"/>
          <w:w w:val="105"/>
        </w:rPr>
        <w:t> </w:t>
      </w:r>
      <w:r>
        <w:rPr>
          <w:w w:val="105"/>
          <w:sz w:val="26"/>
        </w:rPr>
        <w:t>=</w:t>
      </w:r>
      <w:r>
        <w:rPr>
          <w:spacing w:val="-13"/>
          <w:w w:val="105"/>
          <w:sz w:val="26"/>
        </w:rPr>
        <w:t> </w:t>
      </w:r>
      <w:r>
        <w:rPr>
          <w:w w:val="105"/>
        </w:rPr>
        <w:t>147,</w:t>
      </w:r>
      <w:r>
        <w:rPr>
          <w:spacing w:val="-1"/>
          <w:w w:val="105"/>
        </w:rPr>
        <w:t> </w:t>
      </w:r>
      <w:r>
        <w:rPr>
          <w:i/>
          <w:w w:val="105"/>
        </w:rPr>
        <w:t>p</w:t>
      </w:r>
      <w:r>
        <w:rPr>
          <w:i/>
          <w:spacing w:val="-10"/>
          <w:w w:val="105"/>
        </w:rPr>
        <w:t> </w:t>
      </w:r>
      <w:r>
        <w:rPr>
          <w:w w:val="105"/>
          <w:sz w:val="21"/>
        </w:rPr>
        <w:t>&lt;</w:t>
      </w:r>
      <w:r>
        <w:rPr>
          <w:spacing w:val="-1"/>
          <w:w w:val="105"/>
          <w:sz w:val="21"/>
        </w:rPr>
        <w:t> </w:t>
      </w:r>
      <w:r>
        <w:rPr>
          <w:w w:val="105"/>
        </w:rPr>
        <w:t>.001)</w:t>
      </w:r>
      <w:r>
        <w:rPr>
          <w:spacing w:val="-7"/>
          <w:w w:val="105"/>
        </w:rPr>
        <w:t> </w:t>
      </w:r>
      <w:r>
        <w:rPr>
          <w:w w:val="105"/>
        </w:rPr>
        <w:t>and active leisure</w:t>
      </w:r>
      <w:r>
        <w:rPr>
          <w:spacing w:val="-6"/>
          <w:w w:val="105"/>
        </w:rPr>
        <w:t> </w:t>
      </w:r>
      <w:r>
        <w:rPr>
          <w:i/>
          <w:w w:val="105"/>
        </w:rPr>
        <w:t>(r</w:t>
      </w:r>
      <w:r>
        <w:rPr>
          <w:i/>
          <w:spacing w:val="-5"/>
          <w:w w:val="105"/>
        </w:rPr>
        <w:t> </w:t>
      </w:r>
      <w:r>
        <w:rPr>
          <w:w w:val="105"/>
        </w:rPr>
        <w:t>=</w:t>
      </w:r>
      <w:r>
        <w:rPr>
          <w:spacing w:val="-6"/>
          <w:w w:val="105"/>
        </w:rPr>
        <w:t> </w:t>
      </w:r>
      <w:r>
        <w:rPr>
          <w:w w:val="105"/>
        </w:rPr>
        <w:t>-.44,</w:t>
      </w:r>
      <w:r>
        <w:rPr>
          <w:spacing w:val="-1"/>
          <w:w w:val="105"/>
        </w:rPr>
        <w:t> </w:t>
      </w:r>
      <w:r>
        <w:rPr>
          <w:i/>
          <w:w w:val="105"/>
        </w:rPr>
        <w:t>N</w:t>
      </w:r>
    </w:p>
    <w:p>
      <w:pPr>
        <w:pStyle w:val="BodyText"/>
        <w:spacing w:line="496" w:lineRule="auto"/>
        <w:ind w:left="497" w:hanging="8"/>
      </w:pPr>
      <w:r>
        <w:rPr>
          <w:w w:val="105"/>
        </w:rPr>
        <w:t>= 138, </w:t>
      </w:r>
      <w:r>
        <w:rPr>
          <w:i/>
          <w:w w:val="105"/>
        </w:rPr>
        <w:t>p </w:t>
      </w:r>
      <w:r>
        <w:rPr>
          <w:w w:val="105"/>
          <w:sz w:val="20"/>
        </w:rPr>
        <w:t>&lt; </w:t>
      </w:r>
      <w:r>
        <w:rPr>
          <w:w w:val="105"/>
        </w:rPr>
        <w:t>.001) were identified, but the</w:t>
      </w:r>
      <w:r>
        <w:rPr>
          <w:spacing w:val="-1"/>
          <w:w w:val="105"/>
        </w:rPr>
        <w:t> </w:t>
      </w:r>
      <w:r>
        <w:rPr>
          <w:w w:val="105"/>
        </w:rPr>
        <w:t>effect sizes were weak (10% and 19%, respectively).</w:t>
      </w:r>
      <w:r>
        <w:rPr>
          <w:spacing w:val="-15"/>
          <w:w w:val="105"/>
        </w:rPr>
        <w:t> </w:t>
      </w:r>
      <w:r>
        <w:rPr>
          <w:w w:val="105"/>
        </w:rPr>
        <w:t>Fatigue thus</w:t>
      </w:r>
      <w:r>
        <w:rPr>
          <w:spacing w:val="-11"/>
          <w:w w:val="105"/>
        </w:rPr>
        <w:t> </w:t>
      </w:r>
      <w:r>
        <w:rPr>
          <w:w w:val="105"/>
        </w:rPr>
        <w:t>emerged as</w:t>
      </w:r>
      <w:r>
        <w:rPr>
          <w:spacing w:val="-12"/>
          <w:w w:val="105"/>
        </w:rPr>
        <w:t> </w:t>
      </w:r>
      <w:r>
        <w:rPr>
          <w:w w:val="105"/>
        </w:rPr>
        <w:t>the</w:t>
      </w:r>
      <w:r>
        <w:rPr>
          <w:spacing w:val="-8"/>
          <w:w w:val="105"/>
        </w:rPr>
        <w:t> </w:t>
      </w:r>
      <w:r>
        <w:rPr>
          <w:w w:val="105"/>
        </w:rPr>
        <w:t>most highly related</w:t>
      </w:r>
      <w:r>
        <w:rPr>
          <w:spacing w:val="15"/>
          <w:w w:val="105"/>
        </w:rPr>
        <w:t> </w:t>
      </w:r>
      <w:r>
        <w:rPr>
          <w:w w:val="105"/>
        </w:rPr>
        <w:t>potential</w:t>
      </w:r>
      <w:r>
        <w:rPr>
          <w:spacing w:val="15"/>
          <w:w w:val="105"/>
        </w:rPr>
        <w:t> </w:t>
      </w:r>
      <w:r>
        <w:rPr>
          <w:w w:val="105"/>
        </w:rPr>
        <w:t>variable, but</w:t>
      </w:r>
    </w:p>
    <w:p>
      <w:pPr>
        <w:spacing w:after="0" w:line="496" w:lineRule="auto"/>
        <w:sectPr>
          <w:pgSz w:w="12460" w:h="15770"/>
          <w:pgMar w:header="1034" w:footer="0" w:top="1620" w:bottom="280" w:left="1760" w:right="1680"/>
        </w:sectPr>
      </w:pPr>
    </w:p>
    <w:p>
      <w:pPr>
        <w:pStyle w:val="BodyText"/>
        <w:spacing w:line="451" w:lineRule="auto" w:before="79"/>
        <w:ind w:left="516" w:right="267"/>
      </w:pPr>
      <w:r>
        <w:rPr>
          <w:w w:val="105"/>
        </w:rPr>
        <w:t>given</w:t>
      </w:r>
      <w:r>
        <w:rPr>
          <w:spacing w:val="-4"/>
          <w:w w:val="105"/>
        </w:rPr>
        <w:t> </w:t>
      </w:r>
      <w:r>
        <w:rPr>
          <w:w w:val="105"/>
        </w:rPr>
        <w:t>its</w:t>
      </w:r>
      <w:r>
        <w:rPr>
          <w:spacing w:val="-3"/>
          <w:w w:val="105"/>
        </w:rPr>
        <w:t> </w:t>
      </w:r>
      <w:r>
        <w:rPr>
          <w:w w:val="105"/>
        </w:rPr>
        <w:t>very</w:t>
      </w:r>
      <w:r>
        <w:rPr>
          <w:spacing w:val="-4"/>
          <w:w w:val="105"/>
        </w:rPr>
        <w:t> </w:t>
      </w:r>
      <w:r>
        <w:rPr>
          <w:w w:val="105"/>
        </w:rPr>
        <w:t>strong</w:t>
      </w:r>
      <w:r>
        <w:rPr>
          <w:spacing w:val="-6"/>
          <w:w w:val="105"/>
        </w:rPr>
        <w:t> </w:t>
      </w:r>
      <w:r>
        <w:rPr>
          <w:w w:val="105"/>
        </w:rPr>
        <w:t>correlation</w:t>
      </w:r>
      <w:r>
        <w:rPr>
          <w:spacing w:val="19"/>
          <w:w w:val="105"/>
        </w:rPr>
        <w:t> </w:t>
      </w:r>
      <w:r>
        <w:rPr>
          <w:w w:val="105"/>
        </w:rPr>
        <w:t>with FM</w:t>
      </w:r>
      <w:r>
        <w:rPr>
          <w:spacing w:val="-4"/>
          <w:w w:val="105"/>
        </w:rPr>
        <w:t> </w:t>
      </w:r>
      <w:r>
        <w:rPr>
          <w:w w:val="105"/>
        </w:rPr>
        <w:t>status</w:t>
      </w:r>
      <w:r>
        <w:rPr>
          <w:spacing w:val="-15"/>
          <w:w w:val="105"/>
        </w:rPr>
        <w:t> </w:t>
      </w:r>
      <w:r>
        <w:rPr>
          <w:rFonts w:ascii="Arial"/>
          <w:i/>
          <w:w w:val="105"/>
          <w:sz w:val="20"/>
        </w:rPr>
        <w:t>(r</w:t>
      </w:r>
      <w:r>
        <w:rPr>
          <w:rFonts w:ascii="Arial"/>
          <w:i/>
          <w:spacing w:val="23"/>
          <w:w w:val="105"/>
          <w:sz w:val="20"/>
        </w:rPr>
        <w:t> </w:t>
      </w:r>
      <w:r>
        <w:rPr>
          <w:w w:val="105"/>
          <w:sz w:val="26"/>
        </w:rPr>
        <w:t>=</w:t>
      </w:r>
      <w:r>
        <w:rPr>
          <w:spacing w:val="-18"/>
          <w:w w:val="105"/>
          <w:sz w:val="26"/>
        </w:rPr>
        <w:t> </w:t>
      </w:r>
      <w:r>
        <w:rPr>
          <w:w w:val="105"/>
          <w:sz w:val="26"/>
        </w:rPr>
        <w:t>.</w:t>
      </w:r>
      <w:r>
        <w:rPr>
          <w:w w:val="105"/>
        </w:rPr>
        <w:t>76), it</w:t>
      </w:r>
      <w:r>
        <w:rPr>
          <w:spacing w:val="-2"/>
          <w:w w:val="105"/>
        </w:rPr>
        <w:t> </w:t>
      </w:r>
      <w:r>
        <w:rPr>
          <w:w w:val="105"/>
        </w:rPr>
        <w:t>was</w:t>
      </w:r>
      <w:r>
        <w:rPr>
          <w:spacing w:val="-12"/>
          <w:w w:val="105"/>
        </w:rPr>
        <w:t> </w:t>
      </w:r>
      <w:r>
        <w:rPr>
          <w:w w:val="105"/>
        </w:rPr>
        <w:t>excluded from analyses to avoid</w:t>
      </w:r>
      <w:r>
        <w:rPr>
          <w:spacing w:val="40"/>
          <w:w w:val="105"/>
        </w:rPr>
        <w:t> </w:t>
      </w:r>
      <w:r>
        <w:rPr>
          <w:w w:val="105"/>
        </w:rPr>
        <w:t>problems with multicollinearity.</w:t>
      </w:r>
    </w:p>
    <w:p>
      <w:pPr>
        <w:pStyle w:val="BodyText"/>
        <w:spacing w:before="47"/>
        <w:ind w:left="393"/>
        <w:jc w:val="center"/>
      </w:pPr>
      <w:r>
        <w:rPr>
          <w:w w:val="105"/>
          <w:u w:val="thick"/>
        </w:rPr>
        <w:t>Testing</w:t>
      </w:r>
      <w:r>
        <w:rPr>
          <w:spacing w:val="7"/>
          <w:w w:val="105"/>
          <w:u w:val="thick"/>
        </w:rPr>
        <w:t> </w:t>
      </w:r>
      <w:r>
        <w:rPr>
          <w:w w:val="105"/>
          <w:u w:val="thick"/>
        </w:rPr>
        <w:t>Hypothesis</w:t>
      </w:r>
      <w:r>
        <w:rPr>
          <w:spacing w:val="8"/>
          <w:w w:val="105"/>
          <w:u w:val="thick"/>
        </w:rPr>
        <w:t> </w:t>
      </w:r>
      <w:r>
        <w:rPr>
          <w:spacing w:val="-10"/>
          <w:w w:val="105"/>
          <w:u w:val="thick"/>
        </w:rPr>
        <w:t>1</w:t>
      </w:r>
    </w:p>
    <w:p>
      <w:pPr>
        <w:pStyle w:val="BodyText"/>
        <w:spacing w:before="18"/>
      </w:pPr>
    </w:p>
    <w:p>
      <w:pPr>
        <w:pStyle w:val="BodyText"/>
        <w:spacing w:line="496" w:lineRule="auto"/>
        <w:ind w:left="521" w:right="267" w:firstLine="682"/>
      </w:pPr>
      <w:r>
        <w:rPr>
          <w:w w:val="105"/>
        </w:rPr>
        <w:t>The</w:t>
      </w:r>
      <w:r>
        <w:rPr>
          <w:spacing w:val="-6"/>
          <w:w w:val="105"/>
        </w:rPr>
        <w:t> </w:t>
      </w:r>
      <w:r>
        <w:rPr>
          <w:w w:val="105"/>
        </w:rPr>
        <w:t>first hypothesis</w:t>
      </w:r>
      <w:r>
        <w:rPr>
          <w:spacing w:val="-4"/>
          <w:w w:val="105"/>
        </w:rPr>
        <w:t> </w:t>
      </w:r>
      <w:r>
        <w:rPr>
          <w:w w:val="105"/>
        </w:rPr>
        <w:t>of</w:t>
      </w:r>
      <w:r>
        <w:rPr>
          <w:spacing w:val="-11"/>
          <w:w w:val="105"/>
        </w:rPr>
        <w:t> </w:t>
      </w:r>
      <w:r>
        <w:rPr>
          <w:w w:val="105"/>
        </w:rPr>
        <w:t>the</w:t>
      </w:r>
      <w:r>
        <w:rPr>
          <w:spacing w:val="-11"/>
          <w:w w:val="105"/>
        </w:rPr>
        <w:t> </w:t>
      </w:r>
      <w:r>
        <w:rPr>
          <w:w w:val="105"/>
        </w:rPr>
        <w:t>current study was</w:t>
      </w:r>
      <w:r>
        <w:rPr>
          <w:spacing w:val="-7"/>
          <w:w w:val="105"/>
        </w:rPr>
        <w:t> </w:t>
      </w:r>
      <w:r>
        <w:rPr>
          <w:w w:val="105"/>
        </w:rPr>
        <w:t>that being</w:t>
      </w:r>
      <w:r>
        <w:rPr>
          <w:spacing w:val="-1"/>
          <w:w w:val="105"/>
        </w:rPr>
        <w:t> </w:t>
      </w:r>
      <w:r>
        <w:rPr>
          <w:w w:val="105"/>
        </w:rPr>
        <w:t>diagnosed</w:t>
      </w:r>
      <w:r>
        <w:rPr>
          <w:spacing w:val="19"/>
          <w:w w:val="105"/>
        </w:rPr>
        <w:t> </w:t>
      </w:r>
      <w:r>
        <w:rPr>
          <w:w w:val="105"/>
        </w:rPr>
        <w:t>with FM (i.e., having</w:t>
      </w:r>
      <w:r>
        <w:rPr>
          <w:spacing w:val="-4"/>
          <w:w w:val="105"/>
        </w:rPr>
        <w:t> </w:t>
      </w:r>
      <w:r>
        <w:rPr>
          <w:w w:val="105"/>
        </w:rPr>
        <w:t>chronic</w:t>
      </w:r>
      <w:r>
        <w:rPr>
          <w:spacing w:val="6"/>
          <w:w w:val="105"/>
        </w:rPr>
        <w:t> </w:t>
      </w:r>
      <w:r>
        <w:rPr>
          <w:w w:val="105"/>
        </w:rPr>
        <w:t>pain)</w:t>
      </w:r>
      <w:r>
        <w:rPr>
          <w:spacing w:val="-3"/>
          <w:w w:val="105"/>
        </w:rPr>
        <w:t> </w:t>
      </w:r>
      <w:r>
        <w:rPr>
          <w:w w:val="105"/>
        </w:rPr>
        <w:t>would</w:t>
      </w:r>
      <w:r>
        <w:rPr>
          <w:spacing w:val="12"/>
          <w:w w:val="105"/>
        </w:rPr>
        <w:t> </w:t>
      </w:r>
      <w:r>
        <w:rPr>
          <w:w w:val="105"/>
        </w:rPr>
        <w:t>be</w:t>
      </w:r>
      <w:r>
        <w:rPr>
          <w:spacing w:val="-8"/>
          <w:w w:val="105"/>
        </w:rPr>
        <w:t> </w:t>
      </w:r>
      <w:r>
        <w:rPr>
          <w:w w:val="105"/>
        </w:rPr>
        <w:t>associated</w:t>
      </w:r>
      <w:r>
        <w:rPr>
          <w:spacing w:val="9"/>
          <w:w w:val="105"/>
        </w:rPr>
        <w:t> </w:t>
      </w:r>
      <w:r>
        <w:rPr>
          <w:w w:val="105"/>
        </w:rPr>
        <w:t>with</w:t>
      </w:r>
      <w:r>
        <w:rPr>
          <w:spacing w:val="6"/>
          <w:w w:val="105"/>
        </w:rPr>
        <w:t> </w:t>
      </w:r>
      <w:r>
        <w:rPr>
          <w:w w:val="105"/>
        </w:rPr>
        <w:t>more</w:t>
      </w:r>
      <w:r>
        <w:rPr>
          <w:spacing w:val="-6"/>
          <w:w w:val="105"/>
        </w:rPr>
        <w:t> </w:t>
      </w:r>
      <w:r>
        <w:rPr>
          <w:w w:val="105"/>
        </w:rPr>
        <w:t>depression</w:t>
      </w:r>
      <w:r>
        <w:rPr>
          <w:spacing w:val="11"/>
          <w:w w:val="105"/>
        </w:rPr>
        <w:t> </w:t>
      </w:r>
      <w:r>
        <w:rPr>
          <w:w w:val="105"/>
        </w:rPr>
        <w:t>and</w:t>
      </w:r>
      <w:r>
        <w:rPr>
          <w:spacing w:val="6"/>
          <w:w w:val="105"/>
        </w:rPr>
        <w:t> </w:t>
      </w:r>
      <w:r>
        <w:rPr>
          <w:w w:val="105"/>
        </w:rPr>
        <w:t>less</w:t>
      </w:r>
      <w:r>
        <w:rPr>
          <w:spacing w:val="-10"/>
          <w:w w:val="105"/>
        </w:rPr>
        <w:t> </w:t>
      </w:r>
      <w:r>
        <w:rPr>
          <w:w w:val="105"/>
        </w:rPr>
        <w:t>engagement</w:t>
      </w:r>
      <w:r>
        <w:rPr>
          <w:spacing w:val="12"/>
          <w:w w:val="105"/>
        </w:rPr>
        <w:t> </w:t>
      </w:r>
      <w:r>
        <w:rPr>
          <w:spacing w:val="-5"/>
          <w:w w:val="105"/>
        </w:rPr>
        <w:t>in</w:t>
      </w:r>
    </w:p>
    <w:p>
      <w:pPr>
        <w:pStyle w:val="BodyText"/>
        <w:spacing w:line="439" w:lineRule="auto"/>
        <w:ind w:left="515" w:right="267" w:firstLine="10"/>
      </w:pPr>
      <w:r>
        <w:rPr>
          <w:w w:val="105"/>
        </w:rPr>
        <w:t>leisure activities. As</w:t>
      </w:r>
      <w:r>
        <w:rPr>
          <w:spacing w:val="-3"/>
          <w:w w:val="105"/>
        </w:rPr>
        <w:t> </w:t>
      </w:r>
      <w:r>
        <w:rPr>
          <w:w w:val="105"/>
        </w:rPr>
        <w:t>shown</w:t>
      </w:r>
      <w:r>
        <w:rPr>
          <w:spacing w:val="34"/>
          <w:w w:val="105"/>
        </w:rPr>
        <w:t> </w:t>
      </w:r>
      <w:r>
        <w:rPr>
          <w:w w:val="105"/>
        </w:rPr>
        <w:t>in Table 1, participants in the FM group</w:t>
      </w:r>
      <w:r>
        <w:rPr>
          <w:spacing w:val="-3"/>
          <w:w w:val="105"/>
        </w:rPr>
        <w:t> </w:t>
      </w:r>
      <w:r>
        <w:rPr>
          <w:w w:val="105"/>
        </w:rPr>
        <w:t>(i.e., those with chronic pain), reported</w:t>
      </w:r>
      <w:r>
        <w:rPr>
          <w:spacing w:val="27"/>
          <w:w w:val="105"/>
        </w:rPr>
        <w:t> </w:t>
      </w:r>
      <w:r>
        <w:rPr>
          <w:w w:val="105"/>
        </w:rPr>
        <w:t>higher levels</w:t>
      </w:r>
      <w:r>
        <w:rPr>
          <w:spacing w:val="-6"/>
          <w:w w:val="105"/>
        </w:rPr>
        <w:t> </w:t>
      </w:r>
      <w:r>
        <w:rPr>
          <w:w w:val="105"/>
        </w:rPr>
        <w:t>of</w:t>
      </w:r>
      <w:r>
        <w:rPr>
          <w:spacing w:val="-8"/>
          <w:w w:val="105"/>
        </w:rPr>
        <w:t> </w:t>
      </w:r>
      <w:r>
        <w:rPr>
          <w:w w:val="105"/>
        </w:rPr>
        <w:t>depression, as</w:t>
      </w:r>
      <w:r>
        <w:rPr>
          <w:spacing w:val="-9"/>
          <w:w w:val="105"/>
        </w:rPr>
        <w:t> </w:t>
      </w:r>
      <w:r>
        <w:rPr>
          <w:w w:val="105"/>
        </w:rPr>
        <w:t>measured</w:t>
      </w:r>
      <w:r>
        <w:rPr>
          <w:spacing w:val="32"/>
          <w:w w:val="105"/>
        </w:rPr>
        <w:t> </w:t>
      </w:r>
      <w:r>
        <w:rPr>
          <w:w w:val="105"/>
        </w:rPr>
        <w:t>by the BDI-11</w:t>
      </w:r>
      <w:r>
        <w:rPr>
          <w:spacing w:val="-20"/>
          <w:w w:val="105"/>
        </w:rPr>
        <w:t> </w:t>
      </w:r>
      <w:r>
        <w:rPr>
          <w:rFonts w:ascii="Arial"/>
          <w:i/>
          <w:w w:val="105"/>
          <w:sz w:val="21"/>
        </w:rPr>
        <w:t>(M</w:t>
      </w:r>
      <w:r>
        <w:rPr>
          <w:rFonts w:ascii="Arial"/>
          <w:i/>
          <w:spacing w:val="37"/>
          <w:w w:val="105"/>
          <w:sz w:val="21"/>
        </w:rPr>
        <w:t> </w:t>
      </w:r>
      <w:r>
        <w:rPr>
          <w:w w:val="105"/>
          <w:sz w:val="26"/>
        </w:rPr>
        <w:t>= </w:t>
      </w:r>
      <w:r>
        <w:rPr>
          <w:w w:val="105"/>
        </w:rPr>
        <w:t>17.14)</w:t>
      </w:r>
      <w:r>
        <w:rPr>
          <w:spacing w:val="-7"/>
          <w:w w:val="105"/>
        </w:rPr>
        <w:t> </w:t>
      </w:r>
      <w:r>
        <w:rPr>
          <w:w w:val="105"/>
        </w:rPr>
        <w:t>than</w:t>
      </w:r>
      <w:r>
        <w:rPr>
          <w:spacing w:val="-4"/>
          <w:w w:val="105"/>
        </w:rPr>
        <w:t> </w:t>
      </w:r>
      <w:r>
        <w:rPr>
          <w:w w:val="105"/>
        </w:rPr>
        <w:t>did those in</w:t>
      </w:r>
      <w:r>
        <w:rPr>
          <w:spacing w:val="-3"/>
          <w:w w:val="105"/>
        </w:rPr>
        <w:t> </w:t>
      </w:r>
      <w:r>
        <w:rPr>
          <w:w w:val="105"/>
        </w:rPr>
        <w:t>the</w:t>
      </w:r>
      <w:r>
        <w:rPr>
          <w:spacing w:val="-2"/>
          <w:w w:val="105"/>
        </w:rPr>
        <w:t> </w:t>
      </w:r>
      <w:r>
        <w:rPr>
          <w:w w:val="105"/>
        </w:rPr>
        <w:t>non-FM group</w:t>
      </w:r>
      <w:r>
        <w:rPr>
          <w:spacing w:val="-14"/>
          <w:w w:val="105"/>
        </w:rPr>
        <w:t> </w:t>
      </w:r>
      <w:r>
        <w:rPr>
          <w:rFonts w:ascii="Arial"/>
          <w:i/>
          <w:w w:val="105"/>
          <w:sz w:val="21"/>
        </w:rPr>
        <w:t>(M </w:t>
      </w:r>
      <w:r>
        <w:rPr>
          <w:w w:val="105"/>
          <w:sz w:val="26"/>
        </w:rPr>
        <w:t>=</w:t>
      </w:r>
      <w:r>
        <w:rPr>
          <w:spacing w:val="-18"/>
          <w:w w:val="105"/>
          <w:sz w:val="26"/>
        </w:rPr>
        <w:t> </w:t>
      </w:r>
      <w:r>
        <w:rPr>
          <w:w w:val="105"/>
        </w:rPr>
        <w:t>4.25).</w:t>
      </w:r>
      <w:r>
        <w:rPr>
          <w:spacing w:val="-7"/>
          <w:w w:val="105"/>
        </w:rPr>
        <w:t> </w:t>
      </w:r>
      <w:r>
        <w:rPr>
          <w:w w:val="105"/>
        </w:rPr>
        <w:t>The mean</w:t>
      </w:r>
      <w:r>
        <w:rPr>
          <w:spacing w:val="-1"/>
          <w:w w:val="105"/>
        </w:rPr>
        <w:t> </w:t>
      </w:r>
      <w:r>
        <w:rPr>
          <w:w w:val="105"/>
        </w:rPr>
        <w:t>difference between the</w:t>
      </w:r>
    </w:p>
    <w:p>
      <w:pPr>
        <w:pStyle w:val="BodyText"/>
        <w:spacing w:line="271" w:lineRule="exact"/>
        <w:ind w:left="521"/>
      </w:pPr>
      <w:r>
        <w:rPr>
          <w:w w:val="105"/>
        </w:rPr>
        <w:t>two</w:t>
      </w:r>
      <w:r>
        <w:rPr>
          <w:spacing w:val="-9"/>
          <w:w w:val="105"/>
        </w:rPr>
        <w:t> </w:t>
      </w:r>
      <w:r>
        <w:rPr>
          <w:w w:val="105"/>
        </w:rPr>
        <w:t>groups was</w:t>
      </w:r>
      <w:r>
        <w:rPr>
          <w:spacing w:val="4"/>
          <w:w w:val="105"/>
        </w:rPr>
        <w:t> </w:t>
      </w:r>
      <w:r>
        <w:rPr>
          <w:w w:val="105"/>
        </w:rPr>
        <w:t>12.89</w:t>
      </w:r>
      <w:r>
        <w:rPr>
          <w:spacing w:val="-11"/>
          <w:w w:val="105"/>
        </w:rPr>
        <w:t> </w:t>
      </w:r>
      <w:r>
        <w:rPr>
          <w:rFonts w:ascii="Arial"/>
          <w:i/>
          <w:w w:val="105"/>
          <w:sz w:val="20"/>
        </w:rPr>
        <w:t>(SD</w:t>
      </w:r>
      <w:r>
        <w:rPr>
          <w:rFonts w:ascii="Arial"/>
          <w:i/>
          <w:spacing w:val="-5"/>
          <w:w w:val="105"/>
          <w:sz w:val="20"/>
        </w:rPr>
        <w:t> </w:t>
      </w:r>
      <w:r>
        <w:rPr>
          <w:w w:val="105"/>
          <w:sz w:val="26"/>
        </w:rPr>
        <w:t>=</w:t>
      </w:r>
      <w:r>
        <w:rPr>
          <w:spacing w:val="-17"/>
          <w:w w:val="105"/>
          <w:sz w:val="26"/>
        </w:rPr>
        <w:t> </w:t>
      </w:r>
      <w:r>
        <w:rPr>
          <w:w w:val="105"/>
        </w:rPr>
        <w:t>1.18)</w:t>
      </w:r>
      <w:r>
        <w:rPr>
          <w:spacing w:val="-4"/>
          <w:w w:val="105"/>
        </w:rPr>
        <w:t> </w:t>
      </w:r>
      <w:r>
        <w:rPr>
          <w:w w:val="105"/>
        </w:rPr>
        <w:t>and</w:t>
      </w:r>
      <w:r>
        <w:rPr>
          <w:spacing w:val="4"/>
          <w:w w:val="105"/>
        </w:rPr>
        <w:t> </w:t>
      </w:r>
      <w:r>
        <w:rPr>
          <w:w w:val="105"/>
        </w:rPr>
        <w:t>the</w:t>
      </w:r>
      <w:r>
        <w:rPr>
          <w:spacing w:val="-6"/>
          <w:w w:val="105"/>
        </w:rPr>
        <w:t> </w:t>
      </w:r>
      <w:r>
        <w:rPr>
          <w:w w:val="105"/>
        </w:rPr>
        <w:t>95%</w:t>
      </w:r>
      <w:r>
        <w:rPr>
          <w:spacing w:val="-10"/>
          <w:w w:val="105"/>
        </w:rPr>
        <w:t> </w:t>
      </w:r>
      <w:r>
        <w:rPr>
          <w:w w:val="105"/>
        </w:rPr>
        <w:t>confidence</w:t>
      </w:r>
      <w:r>
        <w:rPr>
          <w:spacing w:val="20"/>
          <w:w w:val="105"/>
        </w:rPr>
        <w:t> </w:t>
      </w:r>
      <w:r>
        <w:rPr>
          <w:w w:val="105"/>
        </w:rPr>
        <w:t>interval</w:t>
      </w:r>
      <w:r>
        <w:rPr>
          <w:spacing w:val="15"/>
          <w:w w:val="105"/>
        </w:rPr>
        <w:t> </w:t>
      </w:r>
      <w:r>
        <w:rPr>
          <w:w w:val="105"/>
        </w:rPr>
        <w:t>for</w:t>
      </w:r>
      <w:r>
        <w:rPr>
          <w:spacing w:val="-6"/>
          <w:w w:val="105"/>
        </w:rPr>
        <w:t> </w:t>
      </w:r>
      <w:r>
        <w:rPr>
          <w:w w:val="105"/>
        </w:rPr>
        <w:t>the</w:t>
      </w:r>
      <w:r>
        <w:rPr>
          <w:spacing w:val="-7"/>
          <w:w w:val="105"/>
        </w:rPr>
        <w:t> </w:t>
      </w:r>
      <w:r>
        <w:rPr>
          <w:spacing w:val="-2"/>
          <w:w w:val="105"/>
        </w:rPr>
        <w:t>estimated</w:t>
      </w:r>
    </w:p>
    <w:p>
      <w:pPr>
        <w:pStyle w:val="BodyText"/>
        <w:spacing w:before="5"/>
      </w:pPr>
    </w:p>
    <w:p>
      <w:pPr>
        <w:pStyle w:val="BodyText"/>
        <w:spacing w:line="489" w:lineRule="auto"/>
        <w:ind w:left="515" w:right="101" w:firstLine="13"/>
      </w:pPr>
      <w:r>
        <w:rPr>
          <w:w w:val="105"/>
        </w:rPr>
        <w:t>population</w:t>
      </w:r>
      <w:r>
        <w:rPr>
          <w:w w:val="105"/>
        </w:rPr>
        <w:t> mean difference was between</w:t>
      </w:r>
      <w:r>
        <w:rPr>
          <w:w w:val="105"/>
        </w:rPr>
        <w:t> -15.24 and -10.54. Based on the</w:t>
      </w:r>
      <w:r>
        <w:rPr>
          <w:spacing w:val="-3"/>
          <w:w w:val="105"/>
        </w:rPr>
        <w:t> </w:t>
      </w:r>
      <w:r>
        <w:rPr>
          <w:w w:val="105"/>
        </w:rPr>
        <w:t>criteria classification by Cohen (1969), the effect size (d = 1.98) is considered</w:t>
      </w:r>
      <w:r>
        <w:rPr>
          <w:spacing w:val="34"/>
          <w:w w:val="105"/>
        </w:rPr>
        <w:t> </w:t>
      </w:r>
      <w:r>
        <w:rPr>
          <w:w w:val="105"/>
        </w:rPr>
        <w:t>to be large. The results</w:t>
      </w:r>
      <w:r>
        <w:rPr>
          <w:spacing w:val="-9"/>
          <w:w w:val="105"/>
        </w:rPr>
        <w:t> </w:t>
      </w:r>
      <w:r>
        <w:rPr>
          <w:w w:val="105"/>
        </w:rPr>
        <w:t>of</w:t>
      </w:r>
      <w:r>
        <w:rPr>
          <w:spacing w:val="-14"/>
          <w:w w:val="105"/>
        </w:rPr>
        <w:t> </w:t>
      </w:r>
      <w:r>
        <w:rPr>
          <w:w w:val="105"/>
        </w:rPr>
        <w:t>an independent</w:t>
      </w:r>
      <w:r>
        <w:rPr>
          <w:spacing w:val="13"/>
          <w:w w:val="105"/>
        </w:rPr>
        <w:t> </w:t>
      </w:r>
      <w:r>
        <w:rPr>
          <w:w w:val="105"/>
        </w:rPr>
        <w:t>samples</w:t>
      </w:r>
      <w:r>
        <w:rPr>
          <w:spacing w:val="-6"/>
          <w:w w:val="105"/>
        </w:rPr>
        <w:t> </w:t>
      </w:r>
      <w:r>
        <w:rPr>
          <w:w w:val="105"/>
        </w:rPr>
        <w:t>t-test illustrated</w:t>
      </w:r>
      <w:r>
        <w:rPr>
          <w:w w:val="105"/>
        </w:rPr>
        <w:t> that</w:t>
      </w:r>
      <w:r>
        <w:rPr>
          <w:spacing w:val="-7"/>
          <w:w w:val="105"/>
        </w:rPr>
        <w:t> </w:t>
      </w:r>
      <w:r>
        <w:rPr>
          <w:w w:val="105"/>
        </w:rPr>
        <w:t>the</w:t>
      </w:r>
      <w:r>
        <w:rPr>
          <w:spacing w:val="-9"/>
          <w:w w:val="105"/>
        </w:rPr>
        <w:t> </w:t>
      </w:r>
      <w:r>
        <w:rPr>
          <w:w w:val="105"/>
        </w:rPr>
        <w:t>difference</w:t>
      </w:r>
      <w:r>
        <w:rPr>
          <w:spacing w:val="13"/>
          <w:w w:val="105"/>
        </w:rPr>
        <w:t> </w:t>
      </w:r>
      <w:r>
        <w:rPr>
          <w:w w:val="105"/>
        </w:rPr>
        <w:t>between the</w:t>
      </w:r>
      <w:r>
        <w:rPr>
          <w:spacing w:val="-3"/>
          <w:w w:val="105"/>
        </w:rPr>
        <w:t> </w:t>
      </w:r>
      <w:r>
        <w:rPr>
          <w:w w:val="105"/>
        </w:rPr>
        <w:t>FM</w:t>
      </w:r>
      <w:r>
        <w:rPr>
          <w:spacing w:val="-1"/>
          <w:w w:val="105"/>
        </w:rPr>
        <w:t> </w:t>
      </w:r>
      <w:r>
        <w:rPr>
          <w:w w:val="105"/>
        </w:rPr>
        <w:t>and non-FM groups in terms of their 801-11</w:t>
      </w:r>
      <w:r>
        <w:rPr>
          <w:spacing w:val="-5"/>
          <w:w w:val="105"/>
        </w:rPr>
        <w:t> </w:t>
      </w:r>
      <w:r>
        <w:rPr>
          <w:w w:val="105"/>
        </w:rPr>
        <w:t>score was statistically significant </w:t>
      </w:r>
      <w:r>
        <w:rPr>
          <w:i/>
          <w:w w:val="105"/>
          <w:sz w:val="23"/>
        </w:rPr>
        <w:t>(t </w:t>
      </w:r>
      <w:r>
        <w:rPr>
          <w:w w:val="105"/>
        </w:rPr>
        <w:t>(92) =</w:t>
      </w:r>
    </w:p>
    <w:p>
      <w:pPr>
        <w:pStyle w:val="BodyText"/>
        <w:spacing w:line="244" w:lineRule="exact"/>
        <w:ind w:left="524"/>
      </w:pPr>
      <w:r>
        <w:rPr>
          <w:w w:val="105"/>
        </w:rPr>
        <w:t>-10.91,</w:t>
      </w:r>
      <w:r>
        <w:rPr>
          <w:spacing w:val="5"/>
          <w:w w:val="105"/>
        </w:rPr>
        <w:t> </w:t>
      </w:r>
      <w:r>
        <w:rPr>
          <w:i/>
          <w:w w:val="105"/>
          <w:sz w:val="23"/>
        </w:rPr>
        <w:t>p</w:t>
      </w:r>
      <w:r>
        <w:rPr>
          <w:i/>
          <w:spacing w:val="-9"/>
          <w:w w:val="105"/>
          <w:sz w:val="23"/>
        </w:rPr>
        <w:t> </w:t>
      </w:r>
      <w:r>
        <w:rPr>
          <w:w w:val="105"/>
        </w:rPr>
        <w:t>&lt;</w:t>
      </w:r>
      <w:r>
        <w:rPr>
          <w:spacing w:val="-9"/>
          <w:w w:val="105"/>
        </w:rPr>
        <w:t> </w:t>
      </w:r>
      <w:r>
        <w:rPr>
          <w:w w:val="105"/>
        </w:rPr>
        <w:t>.001).</w:t>
      </w:r>
      <w:r>
        <w:rPr>
          <w:spacing w:val="-12"/>
          <w:w w:val="105"/>
        </w:rPr>
        <w:t> </w:t>
      </w:r>
      <w:r>
        <w:rPr>
          <w:w w:val="105"/>
        </w:rPr>
        <w:t>Thus,</w:t>
      </w:r>
      <w:r>
        <w:rPr>
          <w:spacing w:val="-7"/>
          <w:w w:val="105"/>
        </w:rPr>
        <w:t> </w:t>
      </w:r>
      <w:r>
        <w:rPr>
          <w:w w:val="105"/>
        </w:rPr>
        <w:t>depression</w:t>
      </w:r>
      <w:r>
        <w:rPr>
          <w:spacing w:val="22"/>
          <w:w w:val="105"/>
        </w:rPr>
        <w:t> </w:t>
      </w:r>
      <w:r>
        <w:rPr>
          <w:w w:val="105"/>
        </w:rPr>
        <w:t>levels</w:t>
      </w:r>
      <w:r>
        <w:rPr>
          <w:spacing w:val="4"/>
          <w:w w:val="105"/>
        </w:rPr>
        <w:t> </w:t>
      </w:r>
      <w:r>
        <w:rPr>
          <w:w w:val="105"/>
        </w:rPr>
        <w:t>were</w:t>
      </w:r>
      <w:r>
        <w:rPr>
          <w:spacing w:val="1"/>
          <w:w w:val="105"/>
        </w:rPr>
        <w:t> </w:t>
      </w:r>
      <w:r>
        <w:rPr>
          <w:w w:val="105"/>
        </w:rPr>
        <w:t>significantly</w:t>
      </w:r>
      <w:r>
        <w:rPr>
          <w:spacing w:val="14"/>
          <w:w w:val="105"/>
        </w:rPr>
        <w:t> </w:t>
      </w:r>
      <w:r>
        <w:rPr>
          <w:w w:val="105"/>
        </w:rPr>
        <w:t>higher</w:t>
      </w:r>
      <w:r>
        <w:rPr>
          <w:spacing w:val="-1"/>
          <w:w w:val="105"/>
        </w:rPr>
        <w:t> </w:t>
      </w:r>
      <w:r>
        <w:rPr>
          <w:w w:val="105"/>
        </w:rPr>
        <w:t>among</w:t>
      </w:r>
      <w:r>
        <w:rPr>
          <w:spacing w:val="4"/>
          <w:w w:val="105"/>
        </w:rPr>
        <w:t> </w:t>
      </w:r>
      <w:r>
        <w:rPr>
          <w:w w:val="105"/>
        </w:rPr>
        <w:t>those</w:t>
      </w:r>
      <w:r>
        <w:rPr>
          <w:spacing w:val="3"/>
          <w:w w:val="105"/>
        </w:rPr>
        <w:t> </w:t>
      </w:r>
      <w:r>
        <w:rPr>
          <w:spacing w:val="-4"/>
          <w:w w:val="105"/>
        </w:rPr>
        <w:t>with</w:t>
      </w:r>
    </w:p>
    <w:p>
      <w:pPr>
        <w:pStyle w:val="BodyText"/>
        <w:spacing w:before="20"/>
      </w:pPr>
    </w:p>
    <w:p>
      <w:pPr>
        <w:pStyle w:val="BodyText"/>
        <w:ind w:left="529"/>
      </w:pPr>
      <w:r>
        <w:rPr>
          <w:w w:val="105"/>
        </w:rPr>
        <w:t>FM/chronic</w:t>
      </w:r>
      <w:r>
        <w:rPr>
          <w:spacing w:val="8"/>
          <w:w w:val="105"/>
        </w:rPr>
        <w:t> </w:t>
      </w:r>
      <w:r>
        <w:rPr>
          <w:w w:val="105"/>
        </w:rPr>
        <w:t>pain</w:t>
      </w:r>
      <w:r>
        <w:rPr>
          <w:spacing w:val="-6"/>
          <w:w w:val="105"/>
        </w:rPr>
        <w:t> </w:t>
      </w:r>
      <w:r>
        <w:rPr>
          <w:w w:val="105"/>
        </w:rPr>
        <w:t>than</w:t>
      </w:r>
      <w:r>
        <w:rPr>
          <w:spacing w:val="-7"/>
          <w:w w:val="105"/>
        </w:rPr>
        <w:t> </w:t>
      </w:r>
      <w:r>
        <w:rPr>
          <w:w w:val="105"/>
        </w:rPr>
        <w:t>among</w:t>
      </w:r>
      <w:r>
        <w:rPr>
          <w:spacing w:val="-7"/>
          <w:w w:val="105"/>
        </w:rPr>
        <w:t> </w:t>
      </w:r>
      <w:r>
        <w:rPr>
          <w:w w:val="105"/>
        </w:rPr>
        <w:t>those</w:t>
      </w:r>
      <w:r>
        <w:rPr>
          <w:spacing w:val="-2"/>
          <w:w w:val="105"/>
        </w:rPr>
        <w:t> without.</w:t>
      </w:r>
    </w:p>
    <w:p>
      <w:pPr>
        <w:pStyle w:val="BodyText"/>
        <w:spacing w:before="18"/>
      </w:pPr>
    </w:p>
    <w:p>
      <w:pPr>
        <w:pStyle w:val="BodyText"/>
        <w:spacing w:line="451" w:lineRule="auto"/>
        <w:ind w:left="523" w:right="123" w:firstLine="698"/>
      </w:pPr>
      <w:r>
        <w:rPr>
          <w:w w:val="105"/>
        </w:rPr>
        <w:t>Participants in the FM group/chronic pain condition</w:t>
      </w:r>
      <w:r>
        <w:rPr>
          <w:w w:val="105"/>
        </w:rPr>
        <w:t> had lower scores</w:t>
      </w:r>
      <w:r>
        <w:rPr>
          <w:spacing w:val="-1"/>
          <w:w w:val="105"/>
        </w:rPr>
        <w:t> </w:t>
      </w:r>
      <w:r>
        <w:rPr>
          <w:w w:val="105"/>
        </w:rPr>
        <w:t>on the leisure</w:t>
      </w:r>
      <w:r>
        <w:rPr>
          <w:spacing w:val="-11"/>
          <w:w w:val="105"/>
        </w:rPr>
        <w:t> </w:t>
      </w:r>
      <w:r>
        <w:rPr>
          <w:w w:val="105"/>
        </w:rPr>
        <w:t>activity scale</w:t>
      </w:r>
      <w:r>
        <w:rPr>
          <w:spacing w:val="-15"/>
          <w:w w:val="105"/>
        </w:rPr>
        <w:t> </w:t>
      </w:r>
      <w:r>
        <w:rPr>
          <w:rFonts w:ascii="Arial"/>
          <w:i/>
          <w:w w:val="105"/>
          <w:sz w:val="21"/>
        </w:rPr>
        <w:t>(M</w:t>
      </w:r>
      <w:r>
        <w:rPr>
          <w:rFonts w:ascii="Arial"/>
          <w:i/>
          <w:spacing w:val="15"/>
          <w:w w:val="105"/>
          <w:sz w:val="21"/>
        </w:rPr>
        <w:t> </w:t>
      </w:r>
      <w:r>
        <w:rPr>
          <w:w w:val="105"/>
          <w:sz w:val="26"/>
        </w:rPr>
        <w:t>=</w:t>
      </w:r>
      <w:r>
        <w:rPr>
          <w:spacing w:val="-18"/>
          <w:w w:val="105"/>
          <w:sz w:val="26"/>
        </w:rPr>
        <w:t> </w:t>
      </w:r>
      <w:r>
        <w:rPr>
          <w:w w:val="105"/>
        </w:rPr>
        <w:t>2.30)</w:t>
      </w:r>
      <w:r>
        <w:rPr>
          <w:spacing w:val="-3"/>
          <w:w w:val="105"/>
        </w:rPr>
        <w:t> </w:t>
      </w:r>
      <w:r>
        <w:rPr>
          <w:w w:val="105"/>
        </w:rPr>
        <w:t>than those in</w:t>
      </w:r>
      <w:r>
        <w:rPr>
          <w:spacing w:val="-5"/>
          <w:w w:val="105"/>
        </w:rPr>
        <w:t> </w:t>
      </w:r>
      <w:r>
        <w:rPr>
          <w:w w:val="105"/>
        </w:rPr>
        <w:t>the</w:t>
      </w:r>
      <w:r>
        <w:rPr>
          <w:spacing w:val="-3"/>
          <w:w w:val="105"/>
        </w:rPr>
        <w:t> </w:t>
      </w:r>
      <w:r>
        <w:rPr>
          <w:w w:val="105"/>
        </w:rPr>
        <w:t>non-FM/no chronic pain condition </w:t>
      </w:r>
      <w:r>
        <w:rPr>
          <w:rFonts w:ascii="Arial"/>
          <w:i/>
          <w:w w:val="105"/>
          <w:sz w:val="21"/>
        </w:rPr>
        <w:t>(M</w:t>
      </w:r>
      <w:r>
        <w:rPr>
          <w:rFonts w:ascii="Arial"/>
          <w:i/>
          <w:w w:val="105"/>
          <w:sz w:val="21"/>
        </w:rPr>
        <w:t> </w:t>
      </w:r>
      <w:r>
        <w:rPr>
          <w:w w:val="105"/>
        </w:rPr>
        <w:t>= 2.60). The mean difference between the two groups was .29</w:t>
      </w:r>
      <w:r>
        <w:rPr>
          <w:spacing w:val="-1"/>
          <w:w w:val="105"/>
        </w:rPr>
        <w:t> </w:t>
      </w:r>
      <w:r>
        <w:rPr>
          <w:w w:val="105"/>
        </w:rPr>
        <w:t>and the 95% confidence</w:t>
      </w:r>
    </w:p>
    <w:p>
      <w:pPr>
        <w:pStyle w:val="BodyText"/>
        <w:spacing w:line="453" w:lineRule="auto" w:before="49"/>
        <w:ind w:left="520" w:right="123" w:firstLine="10"/>
      </w:pPr>
      <w:r>
        <w:rPr>
          <w:w w:val="105"/>
        </w:rPr>
        <w:t>interval for</w:t>
      </w:r>
      <w:r>
        <w:rPr>
          <w:spacing w:val="-8"/>
          <w:w w:val="105"/>
        </w:rPr>
        <w:t> </w:t>
      </w:r>
      <w:r>
        <w:rPr>
          <w:w w:val="105"/>
        </w:rPr>
        <w:t>the</w:t>
      </w:r>
      <w:r>
        <w:rPr>
          <w:spacing w:val="-14"/>
          <w:w w:val="105"/>
        </w:rPr>
        <w:t> </w:t>
      </w:r>
      <w:r>
        <w:rPr>
          <w:w w:val="105"/>
        </w:rPr>
        <w:t>estimated</w:t>
      </w:r>
      <w:r>
        <w:rPr>
          <w:spacing w:val="17"/>
          <w:w w:val="105"/>
        </w:rPr>
        <w:t> </w:t>
      </w:r>
      <w:r>
        <w:rPr>
          <w:w w:val="105"/>
        </w:rPr>
        <w:t>population</w:t>
      </w:r>
      <w:r>
        <w:rPr>
          <w:spacing w:val="15"/>
          <w:w w:val="105"/>
        </w:rPr>
        <w:t> </w:t>
      </w:r>
      <w:r>
        <w:rPr>
          <w:w w:val="105"/>
        </w:rPr>
        <w:t>mean</w:t>
      </w:r>
      <w:r>
        <w:rPr>
          <w:spacing w:val="-4"/>
          <w:w w:val="105"/>
        </w:rPr>
        <w:t> </w:t>
      </w:r>
      <w:r>
        <w:rPr>
          <w:w w:val="105"/>
        </w:rPr>
        <w:t>difference</w:t>
      </w:r>
      <w:r>
        <w:rPr>
          <w:w w:val="105"/>
        </w:rPr>
        <w:t> was</w:t>
      </w:r>
      <w:r>
        <w:rPr>
          <w:spacing w:val="-4"/>
          <w:w w:val="105"/>
        </w:rPr>
        <w:t> </w:t>
      </w:r>
      <w:r>
        <w:rPr>
          <w:w w:val="105"/>
        </w:rPr>
        <w:t>between .14</w:t>
      </w:r>
      <w:r>
        <w:rPr>
          <w:spacing w:val="-9"/>
          <w:w w:val="105"/>
        </w:rPr>
        <w:t> </w:t>
      </w:r>
      <w:r>
        <w:rPr>
          <w:w w:val="105"/>
        </w:rPr>
        <w:t>and .43.</w:t>
      </w:r>
      <w:r>
        <w:rPr>
          <w:spacing w:val="-15"/>
          <w:w w:val="105"/>
        </w:rPr>
        <w:t> </w:t>
      </w:r>
      <w:r>
        <w:rPr>
          <w:w w:val="105"/>
        </w:rPr>
        <w:t>The</w:t>
      </w:r>
      <w:r>
        <w:rPr>
          <w:spacing w:val="-11"/>
          <w:w w:val="105"/>
        </w:rPr>
        <w:t> </w:t>
      </w:r>
      <w:r>
        <w:rPr>
          <w:w w:val="105"/>
        </w:rPr>
        <w:t>effect size was medium </w:t>
      </w:r>
      <w:r>
        <w:rPr>
          <w:rFonts w:ascii="Arial"/>
          <w:i/>
          <w:w w:val="105"/>
          <w:sz w:val="20"/>
        </w:rPr>
        <w:t>(d</w:t>
      </w:r>
      <w:r>
        <w:rPr>
          <w:rFonts w:ascii="Arial"/>
          <w:i/>
          <w:spacing w:val="17"/>
          <w:w w:val="105"/>
          <w:sz w:val="20"/>
        </w:rPr>
        <w:t> </w:t>
      </w:r>
      <w:r>
        <w:rPr>
          <w:w w:val="105"/>
          <w:sz w:val="26"/>
        </w:rPr>
        <w:t>=</w:t>
      </w:r>
      <w:r>
        <w:rPr>
          <w:spacing w:val="-9"/>
          <w:w w:val="105"/>
          <w:sz w:val="26"/>
        </w:rPr>
        <w:t> </w:t>
      </w:r>
      <w:r>
        <w:rPr>
          <w:w w:val="105"/>
        </w:rPr>
        <w:t>.67).</w:t>
      </w:r>
      <w:r>
        <w:rPr>
          <w:spacing w:val="-3"/>
          <w:w w:val="105"/>
        </w:rPr>
        <w:t> </w:t>
      </w:r>
      <w:r>
        <w:rPr>
          <w:w w:val="105"/>
        </w:rPr>
        <w:t>The results of</w:t>
      </w:r>
      <w:r>
        <w:rPr>
          <w:spacing w:val="-7"/>
          <w:w w:val="105"/>
        </w:rPr>
        <w:t> </w:t>
      </w:r>
      <w:r>
        <w:rPr>
          <w:w w:val="105"/>
        </w:rPr>
        <w:t>an independent</w:t>
      </w:r>
      <w:r>
        <w:rPr>
          <w:spacing w:val="22"/>
          <w:w w:val="105"/>
        </w:rPr>
        <w:t> </w:t>
      </w:r>
      <w:r>
        <w:rPr>
          <w:w w:val="105"/>
        </w:rPr>
        <w:t>samples t-test</w:t>
      </w:r>
      <w:r>
        <w:rPr>
          <w:spacing w:val="22"/>
          <w:w w:val="105"/>
        </w:rPr>
        <w:t> </w:t>
      </w:r>
      <w:r>
        <w:rPr>
          <w:w w:val="105"/>
        </w:rPr>
        <w:t>illustrated</w:t>
      </w:r>
      <w:r>
        <w:rPr>
          <w:spacing w:val="27"/>
          <w:w w:val="105"/>
        </w:rPr>
        <w:t> </w:t>
      </w:r>
      <w:r>
        <w:rPr>
          <w:w w:val="105"/>
        </w:rPr>
        <w:t>that</w:t>
      </w:r>
      <w:r>
        <w:rPr>
          <w:w w:val="105"/>
        </w:rPr>
        <w:t> the</w:t>
      </w:r>
      <w:r>
        <w:rPr>
          <w:spacing w:val="-8"/>
          <w:w w:val="105"/>
        </w:rPr>
        <w:t> </w:t>
      </w:r>
      <w:r>
        <w:rPr>
          <w:w w:val="105"/>
        </w:rPr>
        <w:t>difference between</w:t>
      </w:r>
      <w:r>
        <w:rPr>
          <w:w w:val="105"/>
        </w:rPr>
        <w:t> the FM/chronic</w:t>
      </w:r>
      <w:r>
        <w:rPr>
          <w:w w:val="105"/>
        </w:rPr>
        <w:t> pain</w:t>
      </w:r>
      <w:r>
        <w:rPr>
          <w:spacing w:val="-4"/>
          <w:w w:val="105"/>
        </w:rPr>
        <w:t> </w:t>
      </w:r>
      <w:r>
        <w:rPr>
          <w:w w:val="105"/>
        </w:rPr>
        <w:t>and non-FM/no chronic pain groups in</w:t>
      </w:r>
      <w:r>
        <w:rPr>
          <w:spacing w:val="-1"/>
          <w:w w:val="105"/>
        </w:rPr>
        <w:t> </w:t>
      </w:r>
      <w:r>
        <w:rPr>
          <w:w w:val="105"/>
        </w:rPr>
        <w:t>terms of their leisure activity score was</w:t>
      </w:r>
      <w:r>
        <w:rPr>
          <w:spacing w:val="-2"/>
          <w:w w:val="105"/>
        </w:rPr>
        <w:t> </w:t>
      </w:r>
      <w:r>
        <w:rPr>
          <w:w w:val="105"/>
        </w:rPr>
        <w:t>significant </w:t>
      </w:r>
      <w:r>
        <w:rPr>
          <w:i/>
          <w:w w:val="105"/>
        </w:rPr>
        <w:t>(I </w:t>
      </w:r>
      <w:r>
        <w:rPr>
          <w:w w:val="105"/>
        </w:rPr>
        <w:t>(136) </w:t>
      </w:r>
      <w:r>
        <w:rPr>
          <w:w w:val="105"/>
          <w:sz w:val="26"/>
        </w:rPr>
        <w:t>=</w:t>
      </w:r>
      <w:r>
        <w:rPr>
          <w:spacing w:val="-5"/>
          <w:w w:val="105"/>
          <w:sz w:val="26"/>
        </w:rPr>
        <w:t> </w:t>
      </w:r>
      <w:r>
        <w:rPr>
          <w:i/>
          <w:w w:val="105"/>
          <w:sz w:val="23"/>
        </w:rPr>
        <w:t>3.90,p </w:t>
      </w:r>
      <w:r>
        <w:rPr>
          <w:w w:val="105"/>
        </w:rPr>
        <w:t>&lt; .001). Thus, those with FM/chronic</w:t>
      </w:r>
      <w:r>
        <w:rPr>
          <w:spacing w:val="28"/>
          <w:w w:val="105"/>
        </w:rPr>
        <w:t> </w:t>
      </w:r>
      <w:r>
        <w:rPr>
          <w:w w:val="105"/>
        </w:rPr>
        <w:t>pain had significantly</w:t>
      </w:r>
      <w:r>
        <w:rPr>
          <w:spacing w:val="29"/>
          <w:w w:val="105"/>
        </w:rPr>
        <w:t> </w:t>
      </w:r>
      <w:r>
        <w:rPr>
          <w:w w:val="105"/>
        </w:rPr>
        <w:t>lower levels of</w:t>
      </w:r>
      <w:r>
        <w:rPr>
          <w:spacing w:val="-7"/>
          <w:w w:val="105"/>
        </w:rPr>
        <w:t> </w:t>
      </w:r>
      <w:r>
        <w:rPr>
          <w:w w:val="105"/>
        </w:rPr>
        <w:t>overall</w:t>
      </w:r>
      <w:r>
        <w:rPr>
          <w:w w:val="105"/>
        </w:rPr>
        <w:t> leisure activity as</w:t>
      </w:r>
      <w:r>
        <w:rPr>
          <w:spacing w:val="-8"/>
          <w:w w:val="105"/>
        </w:rPr>
        <w:t> </w:t>
      </w:r>
      <w:r>
        <w:rPr>
          <w:w w:val="105"/>
        </w:rPr>
        <w:t>compared to</w:t>
      </w:r>
    </w:p>
    <w:p>
      <w:pPr>
        <w:spacing w:after="0" w:line="453" w:lineRule="auto"/>
        <w:sectPr>
          <w:headerReference w:type="default" r:id="rId34"/>
          <w:pgSz w:w="12480" w:h="15730"/>
          <w:pgMar w:header="1005" w:footer="0" w:top="1540" w:bottom="280" w:left="1760" w:right="1740"/>
        </w:sectPr>
      </w:pPr>
    </w:p>
    <w:p>
      <w:pPr>
        <w:pStyle w:val="BodyText"/>
        <w:spacing w:line="496" w:lineRule="auto" w:before="81"/>
        <w:ind w:left="486" w:right="137"/>
      </w:pPr>
      <w:r>
        <w:rPr>
          <w:w w:val="105"/>
        </w:rPr>
        <w:t>those without</w:t>
      </w:r>
      <w:r>
        <w:rPr>
          <w:w w:val="105"/>
        </w:rPr>
        <w:t> FM/chronic</w:t>
      </w:r>
      <w:r>
        <w:rPr>
          <w:w w:val="105"/>
        </w:rPr>
        <w:t> pain.</w:t>
      </w:r>
      <w:r>
        <w:rPr>
          <w:spacing w:val="40"/>
          <w:w w:val="105"/>
        </w:rPr>
        <w:t> </w:t>
      </w:r>
      <w:r>
        <w:rPr>
          <w:w w:val="105"/>
        </w:rPr>
        <w:t>As</w:t>
      </w:r>
      <w:r>
        <w:rPr>
          <w:spacing w:val="-12"/>
          <w:w w:val="105"/>
        </w:rPr>
        <w:t> </w:t>
      </w:r>
      <w:r>
        <w:rPr>
          <w:w w:val="105"/>
        </w:rPr>
        <w:t>shown</w:t>
      </w:r>
      <w:r>
        <w:rPr>
          <w:spacing w:val="19"/>
          <w:w w:val="105"/>
        </w:rPr>
        <w:t> </w:t>
      </w:r>
      <w:r>
        <w:rPr>
          <w:w w:val="105"/>
        </w:rPr>
        <w:t>in</w:t>
      </w:r>
      <w:r>
        <w:rPr>
          <w:spacing w:val="-3"/>
          <w:w w:val="105"/>
        </w:rPr>
        <w:t> </w:t>
      </w:r>
      <w:r>
        <w:rPr>
          <w:w w:val="105"/>
        </w:rPr>
        <w:t>Table 1,</w:t>
      </w:r>
      <w:r>
        <w:rPr>
          <w:spacing w:val="-10"/>
          <w:w w:val="105"/>
        </w:rPr>
        <w:t> </w:t>
      </w:r>
      <w:r>
        <w:rPr>
          <w:w w:val="105"/>
        </w:rPr>
        <w:t>similar results were found</w:t>
      </w:r>
      <w:r>
        <w:rPr>
          <w:w w:val="105"/>
        </w:rPr>
        <w:t> for</w:t>
      </w:r>
      <w:r>
        <w:rPr>
          <w:spacing w:val="-5"/>
          <w:w w:val="105"/>
        </w:rPr>
        <w:t> </w:t>
      </w:r>
      <w:r>
        <w:rPr>
          <w:w w:val="105"/>
        </w:rPr>
        <w:t>the active subcategory of leisure activities, but not for passive leisure activities.</w:t>
      </w:r>
    </w:p>
    <w:p>
      <w:pPr>
        <w:pStyle w:val="BodyText"/>
        <w:ind w:left="362"/>
        <w:jc w:val="center"/>
      </w:pPr>
      <w:r>
        <w:rPr>
          <w:w w:val="105"/>
          <w:u w:val="thick"/>
        </w:rPr>
        <w:t>Testing</w:t>
      </w:r>
      <w:r>
        <w:rPr>
          <w:spacing w:val="12"/>
          <w:w w:val="105"/>
          <w:u w:val="thick"/>
        </w:rPr>
        <w:t> </w:t>
      </w:r>
      <w:r>
        <w:rPr>
          <w:w w:val="105"/>
          <w:u w:val="thick"/>
        </w:rPr>
        <w:t>Hypothesis</w:t>
      </w:r>
      <w:r>
        <w:rPr>
          <w:spacing w:val="3"/>
          <w:w w:val="105"/>
          <w:u w:val="thick"/>
        </w:rPr>
        <w:t> </w:t>
      </w:r>
      <w:r>
        <w:rPr>
          <w:w w:val="105"/>
          <w:u w:val="thick"/>
        </w:rPr>
        <w:t>2</w:t>
      </w:r>
      <w:r>
        <w:rPr>
          <w:spacing w:val="-5"/>
          <w:w w:val="105"/>
          <w:u w:val="thick"/>
        </w:rPr>
        <w:t> </w:t>
      </w:r>
      <w:r>
        <w:rPr>
          <w:w w:val="105"/>
          <w:u w:val="thick"/>
        </w:rPr>
        <w:t>(Linear</w:t>
      </w:r>
      <w:r>
        <w:rPr>
          <w:spacing w:val="13"/>
          <w:w w:val="105"/>
          <w:u w:val="thick"/>
        </w:rPr>
        <w:t> </w:t>
      </w:r>
      <w:r>
        <w:rPr>
          <w:spacing w:val="-2"/>
          <w:w w:val="105"/>
          <w:u w:val="thick"/>
        </w:rPr>
        <w:t>Regression)</w:t>
      </w:r>
    </w:p>
    <w:p>
      <w:pPr>
        <w:pStyle w:val="BodyText"/>
        <w:spacing w:before="18"/>
      </w:pPr>
    </w:p>
    <w:p>
      <w:pPr>
        <w:pStyle w:val="BodyText"/>
        <w:spacing w:line="496" w:lineRule="auto"/>
        <w:ind w:left="486" w:right="137" w:firstLine="693"/>
      </w:pPr>
      <w:r>
        <w:rPr>
          <w:w w:val="105"/>
        </w:rPr>
        <w:t>The second</w:t>
      </w:r>
      <w:r>
        <w:rPr>
          <w:spacing w:val="34"/>
          <w:w w:val="105"/>
        </w:rPr>
        <w:t> </w:t>
      </w:r>
      <w:r>
        <w:rPr>
          <w:w w:val="105"/>
        </w:rPr>
        <w:t>hypothesis was that less</w:t>
      </w:r>
      <w:r>
        <w:rPr>
          <w:spacing w:val="-5"/>
          <w:w w:val="105"/>
        </w:rPr>
        <w:t> </w:t>
      </w:r>
      <w:r>
        <w:rPr>
          <w:w w:val="105"/>
        </w:rPr>
        <w:t>engagement</w:t>
      </w:r>
      <w:r>
        <w:rPr>
          <w:spacing w:val="30"/>
          <w:w w:val="105"/>
        </w:rPr>
        <w:t> </w:t>
      </w:r>
      <w:r>
        <w:rPr>
          <w:w w:val="105"/>
        </w:rPr>
        <w:t>in leisure activities would</w:t>
      </w:r>
      <w:r>
        <w:rPr>
          <w:spacing w:val="32"/>
          <w:w w:val="105"/>
        </w:rPr>
        <w:t> </w:t>
      </w:r>
      <w:r>
        <w:rPr>
          <w:w w:val="105"/>
        </w:rPr>
        <w:t>be correlated</w:t>
      </w:r>
      <w:r>
        <w:rPr>
          <w:w w:val="105"/>
        </w:rPr>
        <w:t> with more</w:t>
      </w:r>
      <w:r>
        <w:rPr>
          <w:spacing w:val="-12"/>
          <w:w w:val="105"/>
        </w:rPr>
        <w:t> </w:t>
      </w:r>
      <w:r>
        <w:rPr>
          <w:w w:val="105"/>
        </w:rPr>
        <w:t>depressive symptoms. In</w:t>
      </w:r>
      <w:r>
        <w:rPr>
          <w:spacing w:val="-4"/>
          <w:w w:val="105"/>
        </w:rPr>
        <w:t> </w:t>
      </w:r>
      <w:r>
        <w:rPr>
          <w:w w:val="105"/>
        </w:rPr>
        <w:t>order</w:t>
      </w:r>
      <w:r>
        <w:rPr>
          <w:spacing w:val="-1"/>
          <w:w w:val="105"/>
        </w:rPr>
        <w:t> </w:t>
      </w:r>
      <w:r>
        <w:rPr>
          <w:w w:val="105"/>
        </w:rPr>
        <w:t>to</w:t>
      </w:r>
      <w:r>
        <w:rPr>
          <w:spacing w:val="-1"/>
          <w:w w:val="105"/>
        </w:rPr>
        <w:t> </w:t>
      </w:r>
      <w:r>
        <w:rPr>
          <w:w w:val="105"/>
        </w:rPr>
        <w:t>investigate the relationship among leisure activity and depression, a series of three linear regressions were conducted.</w:t>
      </w:r>
      <w:r>
        <w:rPr>
          <w:spacing w:val="40"/>
          <w:w w:val="105"/>
        </w:rPr>
        <w:t> </w:t>
      </w:r>
      <w:r>
        <w:rPr>
          <w:w w:val="105"/>
        </w:rPr>
        <w:t>In each, FM status was a covariate and depression</w:t>
      </w:r>
      <w:r>
        <w:rPr>
          <w:w w:val="105"/>
        </w:rPr>
        <w:t> was the dependent</w:t>
      </w:r>
      <w:r>
        <w:rPr>
          <w:spacing w:val="34"/>
          <w:w w:val="105"/>
        </w:rPr>
        <w:t> </w:t>
      </w:r>
      <w:r>
        <w:rPr>
          <w:w w:val="105"/>
        </w:rPr>
        <w:t>variable. A separate model</w:t>
      </w:r>
      <w:r>
        <w:rPr>
          <w:w w:val="105"/>
        </w:rPr>
        <w:t> was conducted</w:t>
      </w:r>
      <w:r>
        <w:rPr>
          <w:w w:val="105"/>
        </w:rPr>
        <w:t> for overall, active, and passive leisure activity.</w:t>
      </w:r>
      <w:r>
        <w:rPr>
          <w:spacing w:val="40"/>
          <w:w w:val="105"/>
        </w:rPr>
        <w:t> </w:t>
      </w:r>
      <w:r>
        <w:rPr>
          <w:w w:val="105"/>
        </w:rPr>
        <w:t>For the model</w:t>
      </w:r>
    </w:p>
    <w:p>
      <w:pPr>
        <w:pStyle w:val="BodyText"/>
        <w:spacing w:line="253" w:lineRule="exact"/>
        <w:ind w:left="502"/>
        <w:rPr>
          <w:i/>
        </w:rPr>
      </w:pPr>
      <w:r>
        <w:rPr>
          <w:w w:val="105"/>
        </w:rPr>
        <w:t>looking</w:t>
      </w:r>
      <w:r>
        <w:rPr>
          <w:spacing w:val="-8"/>
          <w:w w:val="105"/>
        </w:rPr>
        <w:t> </w:t>
      </w:r>
      <w:r>
        <w:rPr>
          <w:w w:val="105"/>
        </w:rPr>
        <w:t>at</w:t>
      </w:r>
      <w:r>
        <w:rPr>
          <w:spacing w:val="-6"/>
          <w:w w:val="105"/>
        </w:rPr>
        <w:t> </w:t>
      </w:r>
      <w:r>
        <w:rPr>
          <w:w w:val="105"/>
        </w:rPr>
        <w:t>overall</w:t>
      </w:r>
      <w:r>
        <w:rPr>
          <w:spacing w:val="12"/>
          <w:w w:val="105"/>
        </w:rPr>
        <w:t> </w:t>
      </w:r>
      <w:r>
        <w:rPr>
          <w:w w:val="105"/>
        </w:rPr>
        <w:t>leisure</w:t>
      </w:r>
      <w:r>
        <w:rPr>
          <w:spacing w:val="-4"/>
          <w:w w:val="105"/>
        </w:rPr>
        <w:t> </w:t>
      </w:r>
      <w:r>
        <w:rPr>
          <w:w w:val="105"/>
        </w:rPr>
        <w:t>activity,</w:t>
      </w:r>
      <w:r>
        <w:rPr>
          <w:spacing w:val="-1"/>
          <w:w w:val="105"/>
        </w:rPr>
        <w:t> </w:t>
      </w:r>
      <w:r>
        <w:rPr>
          <w:w w:val="105"/>
        </w:rPr>
        <w:t>the</w:t>
      </w:r>
      <w:r>
        <w:rPr>
          <w:spacing w:val="-9"/>
          <w:w w:val="105"/>
        </w:rPr>
        <w:t> </w:t>
      </w:r>
      <w:r>
        <w:rPr>
          <w:w w:val="105"/>
        </w:rPr>
        <w:t>overall</w:t>
      </w:r>
      <w:r>
        <w:rPr>
          <w:spacing w:val="7"/>
          <w:w w:val="105"/>
        </w:rPr>
        <w:t> </w:t>
      </w:r>
      <w:r>
        <w:rPr>
          <w:w w:val="105"/>
        </w:rPr>
        <w:t>model</w:t>
      </w:r>
      <w:r>
        <w:rPr>
          <w:spacing w:val="13"/>
          <w:w w:val="105"/>
        </w:rPr>
        <w:t> </w:t>
      </w:r>
      <w:r>
        <w:rPr>
          <w:w w:val="105"/>
        </w:rPr>
        <w:t>was</w:t>
      </w:r>
      <w:r>
        <w:rPr>
          <w:spacing w:val="-4"/>
          <w:w w:val="105"/>
        </w:rPr>
        <w:t> </w:t>
      </w:r>
      <w:r>
        <w:rPr>
          <w:w w:val="105"/>
        </w:rPr>
        <w:t>significant</w:t>
      </w:r>
      <w:r>
        <w:rPr>
          <w:spacing w:val="5"/>
          <w:w w:val="105"/>
        </w:rPr>
        <w:t> </w:t>
      </w:r>
      <w:r>
        <w:rPr>
          <w:w w:val="105"/>
          <w:sz w:val="23"/>
        </w:rPr>
        <w:t>[F</w:t>
      </w:r>
      <w:r>
        <w:rPr>
          <w:spacing w:val="-1"/>
          <w:w w:val="105"/>
          <w:sz w:val="23"/>
        </w:rPr>
        <w:t> </w:t>
      </w:r>
      <w:r>
        <w:rPr>
          <w:w w:val="105"/>
        </w:rPr>
        <w:t>(2,135)</w:t>
      </w:r>
      <w:r>
        <w:rPr>
          <w:spacing w:val="2"/>
          <w:w w:val="105"/>
        </w:rPr>
        <w:t> </w:t>
      </w:r>
      <w:r>
        <w:rPr>
          <w:w w:val="105"/>
          <w:sz w:val="26"/>
        </w:rPr>
        <w:t>=</w:t>
      </w:r>
      <w:r>
        <w:rPr>
          <w:spacing w:val="-17"/>
          <w:w w:val="105"/>
          <w:sz w:val="26"/>
        </w:rPr>
        <w:t> </w:t>
      </w:r>
      <w:r>
        <w:rPr>
          <w:w w:val="105"/>
        </w:rPr>
        <w:t>57.66,</w:t>
      </w:r>
      <w:r>
        <w:rPr>
          <w:spacing w:val="3"/>
          <w:w w:val="105"/>
        </w:rPr>
        <w:t> </w:t>
      </w:r>
      <w:r>
        <w:rPr>
          <w:i/>
          <w:spacing w:val="-10"/>
          <w:w w:val="105"/>
        </w:rPr>
        <w:t>p</w:t>
      </w:r>
    </w:p>
    <w:p>
      <w:pPr>
        <w:pStyle w:val="BodyText"/>
        <w:spacing w:before="8"/>
        <w:rPr>
          <w:i/>
        </w:rPr>
      </w:pPr>
    </w:p>
    <w:p>
      <w:pPr>
        <w:pStyle w:val="BodyText"/>
        <w:spacing w:line="494" w:lineRule="auto"/>
        <w:ind w:left="497" w:right="128" w:firstLine="2"/>
      </w:pPr>
      <w:r>
        <w:rPr>
          <w:w w:val="105"/>
        </w:rPr>
        <w:t>&lt; .001], explaining 45% of the variance in the dependent</w:t>
      </w:r>
      <w:r>
        <w:rPr>
          <w:spacing w:val="30"/>
          <w:w w:val="105"/>
        </w:rPr>
        <w:t> </w:t>
      </w:r>
      <w:r>
        <w:rPr>
          <w:w w:val="105"/>
        </w:rPr>
        <w:t>variable (adjusted</w:t>
      </w:r>
      <w:r>
        <w:rPr>
          <w:spacing w:val="40"/>
          <w:w w:val="105"/>
        </w:rPr>
        <w:t> </w:t>
      </w:r>
      <w:r>
        <w:rPr>
          <w:i/>
          <w:w w:val="105"/>
        </w:rPr>
        <w:t>R</w:t>
      </w:r>
      <w:r>
        <w:rPr>
          <w:rFonts w:ascii="Arial"/>
          <w:i/>
          <w:w w:val="105"/>
          <w:vertAlign w:val="superscript"/>
        </w:rPr>
        <w:t>2</w:t>
      </w:r>
      <w:r>
        <w:rPr>
          <w:rFonts w:ascii="Arial"/>
          <w:i/>
          <w:w w:val="105"/>
          <w:vertAlign w:val="baseline"/>
        </w:rPr>
        <w:t> </w:t>
      </w:r>
      <w:r>
        <w:rPr>
          <w:w w:val="105"/>
          <w:vertAlign w:val="baseline"/>
        </w:rPr>
        <w:t>=</w:t>
      </w:r>
      <w:r>
        <w:rPr>
          <w:spacing w:val="-2"/>
          <w:w w:val="105"/>
          <w:vertAlign w:val="baseline"/>
        </w:rPr>
        <w:t> </w:t>
      </w:r>
      <w:r>
        <w:rPr>
          <w:w w:val="105"/>
          <w:vertAlign w:val="baseline"/>
        </w:rPr>
        <w:t>.45). Table</w:t>
      </w:r>
      <w:r>
        <w:rPr>
          <w:spacing w:val="-3"/>
          <w:w w:val="105"/>
          <w:vertAlign w:val="baseline"/>
        </w:rPr>
        <w:t> </w:t>
      </w:r>
      <w:r>
        <w:rPr>
          <w:w w:val="105"/>
          <w:vertAlign w:val="baseline"/>
        </w:rPr>
        <w:t>4 displays information for the predictor variables used</w:t>
      </w:r>
      <w:r>
        <w:rPr>
          <w:w w:val="105"/>
          <w:vertAlign w:val="baseline"/>
        </w:rPr>
        <w:t> in the model. FM status had an independent effect, which indicated that it was</w:t>
      </w:r>
      <w:r>
        <w:rPr>
          <w:spacing w:val="-3"/>
          <w:w w:val="105"/>
          <w:vertAlign w:val="baseline"/>
        </w:rPr>
        <w:t> </w:t>
      </w:r>
      <w:r>
        <w:rPr>
          <w:w w:val="105"/>
          <w:vertAlign w:val="baseline"/>
        </w:rPr>
        <w:t>a significant</w:t>
      </w:r>
      <w:r>
        <w:rPr>
          <w:w w:val="105"/>
          <w:vertAlign w:val="baseline"/>
        </w:rPr>
        <w:t> predictor of depressive symptoms</w:t>
      </w:r>
      <w:r>
        <w:rPr>
          <w:spacing w:val="-13"/>
          <w:w w:val="105"/>
          <w:vertAlign w:val="baseline"/>
        </w:rPr>
        <w:t> </w:t>
      </w:r>
      <w:r>
        <w:rPr>
          <w:rFonts w:ascii="Arial"/>
          <w:i/>
          <w:w w:val="105"/>
          <w:vertAlign w:val="baseline"/>
        </w:rPr>
        <w:t>(/J</w:t>
      </w:r>
      <w:r>
        <w:rPr>
          <w:rFonts w:ascii="Arial"/>
          <w:i/>
          <w:spacing w:val="-5"/>
          <w:w w:val="105"/>
          <w:vertAlign w:val="baseline"/>
        </w:rPr>
        <w:t> </w:t>
      </w:r>
      <w:r>
        <w:rPr>
          <w:w w:val="105"/>
          <w:vertAlign w:val="baseline"/>
        </w:rPr>
        <w:t>=</w:t>
      </w:r>
      <w:r>
        <w:rPr>
          <w:spacing w:val="-12"/>
          <w:w w:val="105"/>
          <w:vertAlign w:val="baseline"/>
        </w:rPr>
        <w:t> </w:t>
      </w:r>
      <w:r>
        <w:rPr>
          <w:w w:val="105"/>
          <w:vertAlign w:val="baseline"/>
        </w:rPr>
        <w:t>.64,</w:t>
      </w:r>
      <w:r>
        <w:rPr>
          <w:spacing w:val="-15"/>
          <w:w w:val="105"/>
          <w:vertAlign w:val="baseline"/>
        </w:rPr>
        <w:t> </w:t>
      </w:r>
      <w:r>
        <w:rPr>
          <w:rFonts w:ascii="Arial"/>
          <w:i/>
          <w:w w:val="105"/>
          <w:sz w:val="21"/>
          <w:vertAlign w:val="baseline"/>
        </w:rPr>
        <w:t>p</w:t>
      </w:r>
      <w:r>
        <w:rPr>
          <w:rFonts w:ascii="Arial"/>
          <w:i/>
          <w:spacing w:val="-4"/>
          <w:w w:val="105"/>
          <w:sz w:val="21"/>
          <w:vertAlign w:val="baseline"/>
        </w:rPr>
        <w:t> </w:t>
      </w:r>
      <w:r>
        <w:rPr>
          <w:w w:val="105"/>
          <w:vertAlign w:val="baseline"/>
        </w:rPr>
        <w:t>&lt;</w:t>
      </w:r>
      <w:r>
        <w:rPr>
          <w:spacing w:val="-15"/>
          <w:w w:val="105"/>
          <w:vertAlign w:val="baseline"/>
        </w:rPr>
        <w:t> </w:t>
      </w:r>
      <w:r>
        <w:rPr>
          <w:w w:val="105"/>
          <w:vertAlign w:val="baseline"/>
        </w:rPr>
        <w:t>.001),</w:t>
      </w:r>
      <w:r>
        <w:rPr>
          <w:spacing w:val="-3"/>
          <w:w w:val="105"/>
          <w:vertAlign w:val="baseline"/>
        </w:rPr>
        <w:t> </w:t>
      </w:r>
      <w:r>
        <w:rPr>
          <w:w w:val="105"/>
          <w:vertAlign w:val="baseline"/>
        </w:rPr>
        <w:t>while leisure</w:t>
      </w:r>
      <w:r>
        <w:rPr>
          <w:spacing w:val="-8"/>
          <w:w w:val="105"/>
          <w:vertAlign w:val="baseline"/>
        </w:rPr>
        <w:t> </w:t>
      </w:r>
      <w:r>
        <w:rPr>
          <w:w w:val="105"/>
          <w:vertAlign w:val="baseline"/>
        </w:rPr>
        <w:t>activity was</w:t>
      </w:r>
      <w:r>
        <w:rPr>
          <w:spacing w:val="-4"/>
          <w:w w:val="105"/>
          <w:vertAlign w:val="baseline"/>
        </w:rPr>
        <w:t> </w:t>
      </w:r>
      <w:r>
        <w:rPr>
          <w:w w:val="105"/>
          <w:vertAlign w:val="baseline"/>
        </w:rPr>
        <w:t>negatively associated</w:t>
      </w:r>
      <w:r>
        <w:rPr>
          <w:spacing w:val="17"/>
          <w:w w:val="105"/>
          <w:vertAlign w:val="baseline"/>
        </w:rPr>
        <w:t> </w:t>
      </w:r>
      <w:r>
        <w:rPr>
          <w:w w:val="105"/>
          <w:vertAlign w:val="baseline"/>
        </w:rPr>
        <w:t>but was</w:t>
      </w:r>
      <w:r>
        <w:rPr>
          <w:spacing w:val="-3"/>
          <w:w w:val="105"/>
          <w:vertAlign w:val="baseline"/>
        </w:rPr>
        <w:t> </w:t>
      </w:r>
      <w:r>
        <w:rPr>
          <w:w w:val="105"/>
          <w:vertAlign w:val="baseline"/>
        </w:rPr>
        <w:t>not</w:t>
      </w:r>
    </w:p>
    <w:p>
      <w:pPr>
        <w:pStyle w:val="BodyText"/>
        <w:spacing w:line="456" w:lineRule="auto"/>
        <w:ind w:left="506" w:right="137" w:hanging="5"/>
      </w:pPr>
      <w:r>
        <w:rPr>
          <w:w w:val="105"/>
        </w:rPr>
        <w:t>quite</w:t>
      </w:r>
      <w:r>
        <w:rPr>
          <w:spacing w:val="-12"/>
          <w:w w:val="105"/>
        </w:rPr>
        <w:t> </w:t>
      </w:r>
      <w:r>
        <w:rPr>
          <w:w w:val="105"/>
        </w:rPr>
        <w:t>significant</w:t>
      </w:r>
      <w:r>
        <w:rPr>
          <w:spacing w:val="-4"/>
          <w:w w:val="105"/>
        </w:rPr>
        <w:t> </w:t>
      </w:r>
      <w:r>
        <w:rPr>
          <w:rFonts w:ascii="Arial"/>
          <w:i/>
          <w:w w:val="105"/>
        </w:rPr>
        <w:t>(/J</w:t>
      </w:r>
      <w:r>
        <w:rPr>
          <w:rFonts w:ascii="Arial"/>
          <w:i/>
          <w:spacing w:val="-11"/>
          <w:w w:val="105"/>
        </w:rPr>
        <w:t> </w:t>
      </w:r>
      <w:r>
        <w:rPr>
          <w:rFonts w:ascii="Arial"/>
          <w:w w:val="105"/>
        </w:rPr>
        <w:t>= </w:t>
      </w:r>
      <w:r>
        <w:rPr>
          <w:w w:val="105"/>
        </w:rPr>
        <w:t>-.11,</w:t>
      </w:r>
      <w:r>
        <w:rPr>
          <w:spacing w:val="-15"/>
          <w:w w:val="105"/>
        </w:rPr>
        <w:t> </w:t>
      </w:r>
      <w:r>
        <w:rPr>
          <w:rFonts w:ascii="Arial"/>
          <w:i/>
          <w:w w:val="105"/>
          <w:sz w:val="21"/>
        </w:rPr>
        <w:t>p</w:t>
      </w:r>
      <w:r>
        <w:rPr>
          <w:rFonts w:ascii="Arial"/>
          <w:i/>
          <w:spacing w:val="-6"/>
          <w:w w:val="105"/>
          <w:sz w:val="21"/>
        </w:rPr>
        <w:t> </w:t>
      </w:r>
      <w:r>
        <w:rPr>
          <w:rFonts w:ascii="Arial"/>
          <w:w w:val="105"/>
        </w:rPr>
        <w:t>=</w:t>
      </w:r>
      <w:r>
        <w:rPr>
          <w:rFonts w:ascii="Arial"/>
          <w:spacing w:val="-15"/>
          <w:w w:val="105"/>
        </w:rPr>
        <w:t> </w:t>
      </w:r>
      <w:r>
        <w:rPr>
          <w:w w:val="105"/>
        </w:rPr>
        <w:t>.098).</w:t>
      </w:r>
      <w:r>
        <w:rPr>
          <w:spacing w:val="-5"/>
          <w:w w:val="105"/>
        </w:rPr>
        <w:t> </w:t>
      </w:r>
      <w:r>
        <w:rPr>
          <w:w w:val="105"/>
        </w:rPr>
        <w:t>For</w:t>
      </w:r>
      <w:r>
        <w:rPr>
          <w:spacing w:val="-10"/>
          <w:w w:val="105"/>
        </w:rPr>
        <w:t> </w:t>
      </w:r>
      <w:r>
        <w:rPr>
          <w:w w:val="105"/>
        </w:rPr>
        <w:t>the</w:t>
      </w:r>
      <w:r>
        <w:rPr>
          <w:spacing w:val="-1"/>
          <w:w w:val="105"/>
        </w:rPr>
        <w:t> </w:t>
      </w:r>
      <w:r>
        <w:rPr>
          <w:w w:val="105"/>
        </w:rPr>
        <w:t>model</w:t>
      </w:r>
      <w:r>
        <w:rPr>
          <w:spacing w:val="16"/>
          <w:w w:val="105"/>
        </w:rPr>
        <w:t> </w:t>
      </w:r>
      <w:r>
        <w:rPr>
          <w:w w:val="105"/>
        </w:rPr>
        <w:t>looking</w:t>
      </w:r>
      <w:r>
        <w:rPr>
          <w:spacing w:val="-3"/>
          <w:w w:val="105"/>
        </w:rPr>
        <w:t> </w:t>
      </w:r>
      <w:r>
        <w:rPr>
          <w:w w:val="105"/>
        </w:rPr>
        <w:t>at</w:t>
      </w:r>
      <w:r>
        <w:rPr>
          <w:spacing w:val="-10"/>
          <w:w w:val="105"/>
        </w:rPr>
        <w:t> </w:t>
      </w:r>
      <w:r>
        <w:rPr>
          <w:w w:val="105"/>
        </w:rPr>
        <w:t>active leisure activity,</w:t>
      </w:r>
      <w:r>
        <w:rPr>
          <w:spacing w:val="-5"/>
          <w:w w:val="105"/>
        </w:rPr>
        <w:t> </w:t>
      </w:r>
      <w:r>
        <w:rPr>
          <w:w w:val="105"/>
        </w:rPr>
        <w:t>the overall</w:t>
      </w:r>
      <w:r>
        <w:rPr>
          <w:spacing w:val="34"/>
          <w:w w:val="105"/>
        </w:rPr>
        <w:t> </w:t>
      </w:r>
      <w:r>
        <w:rPr>
          <w:w w:val="105"/>
        </w:rPr>
        <w:t>model was significant</w:t>
      </w:r>
      <w:r>
        <w:rPr>
          <w:spacing w:val="37"/>
          <w:w w:val="105"/>
        </w:rPr>
        <w:t> </w:t>
      </w:r>
      <w:r>
        <w:rPr>
          <w:rFonts w:ascii="Arial"/>
          <w:i/>
          <w:w w:val="105"/>
          <w:sz w:val="21"/>
        </w:rPr>
        <w:t>[F </w:t>
      </w:r>
      <w:r>
        <w:rPr>
          <w:w w:val="105"/>
        </w:rPr>
        <w:t>(2,136) </w:t>
      </w:r>
      <w:r>
        <w:rPr>
          <w:w w:val="105"/>
          <w:sz w:val="26"/>
        </w:rPr>
        <w:t>=</w:t>
      </w:r>
      <w:r>
        <w:rPr>
          <w:spacing w:val="-2"/>
          <w:w w:val="105"/>
          <w:sz w:val="26"/>
        </w:rPr>
        <w:t> </w:t>
      </w:r>
      <w:r>
        <w:rPr>
          <w:w w:val="105"/>
        </w:rPr>
        <w:t>62.19,</w:t>
      </w:r>
      <w:r>
        <w:rPr>
          <w:spacing w:val="-6"/>
          <w:w w:val="105"/>
        </w:rPr>
        <w:t> </w:t>
      </w:r>
      <w:r>
        <w:rPr>
          <w:rFonts w:ascii="Arial"/>
          <w:i/>
          <w:w w:val="105"/>
          <w:sz w:val="21"/>
        </w:rPr>
        <w:t>p </w:t>
      </w:r>
      <w:r>
        <w:rPr>
          <w:w w:val="105"/>
        </w:rPr>
        <w:t>&lt; .001], explaining 47% of the</w:t>
      </w:r>
    </w:p>
    <w:p>
      <w:pPr>
        <w:pStyle w:val="BodyText"/>
        <w:spacing w:line="261" w:lineRule="exact"/>
        <w:ind w:left="511"/>
      </w:pPr>
      <w:r>
        <w:rPr/>
        <w:t>variance</w:t>
      </w:r>
      <w:r>
        <w:rPr>
          <w:spacing w:val="18"/>
        </w:rPr>
        <w:t> </w:t>
      </w:r>
      <w:r>
        <w:rPr/>
        <w:t>in</w:t>
      </w:r>
      <w:r>
        <w:rPr>
          <w:spacing w:val="15"/>
        </w:rPr>
        <w:t> </w:t>
      </w:r>
      <w:r>
        <w:rPr/>
        <w:t>the</w:t>
      </w:r>
      <w:r>
        <w:rPr>
          <w:spacing w:val="6"/>
        </w:rPr>
        <w:t> </w:t>
      </w:r>
      <w:r>
        <w:rPr/>
        <w:t>dependent</w:t>
      </w:r>
      <w:r>
        <w:rPr>
          <w:spacing w:val="27"/>
        </w:rPr>
        <w:t> </w:t>
      </w:r>
      <w:r>
        <w:rPr/>
        <w:t>variable</w:t>
      </w:r>
      <w:r>
        <w:rPr>
          <w:spacing w:val="10"/>
        </w:rPr>
        <w:t> </w:t>
      </w:r>
      <w:r>
        <w:rPr/>
        <w:t>(adjusted</w:t>
      </w:r>
      <w:r>
        <w:rPr>
          <w:spacing w:val="15"/>
        </w:rPr>
        <w:t> </w:t>
      </w:r>
      <w:r>
        <w:rPr>
          <w:rFonts w:ascii="Arial"/>
          <w:i/>
          <w:w w:val="95"/>
          <w:sz w:val="29"/>
        </w:rPr>
        <w:t>R2</w:t>
      </w:r>
      <w:r>
        <w:rPr>
          <w:rFonts w:ascii="Arial"/>
          <w:i/>
          <w:spacing w:val="-2"/>
          <w:sz w:val="29"/>
        </w:rPr>
        <w:t> </w:t>
      </w:r>
      <w:r>
        <w:rPr>
          <w:sz w:val="26"/>
        </w:rPr>
        <w:t>=</w:t>
      </w:r>
      <w:r>
        <w:rPr>
          <w:spacing w:val="-3"/>
          <w:sz w:val="26"/>
        </w:rPr>
        <w:t> </w:t>
      </w:r>
      <w:r>
        <w:rPr/>
        <w:t>.47).</w:t>
      </w:r>
      <w:r>
        <w:rPr>
          <w:spacing w:val="4"/>
        </w:rPr>
        <w:t> </w:t>
      </w:r>
      <w:r>
        <w:rPr/>
        <w:t>This</w:t>
      </w:r>
      <w:r>
        <w:rPr>
          <w:spacing w:val="16"/>
        </w:rPr>
        <w:t> </w:t>
      </w:r>
      <w:r>
        <w:rPr/>
        <w:t>model</w:t>
      </w:r>
      <w:r>
        <w:rPr>
          <w:spacing w:val="19"/>
        </w:rPr>
        <w:t> </w:t>
      </w:r>
      <w:r>
        <w:rPr/>
        <w:t>detected</w:t>
      </w:r>
      <w:r>
        <w:rPr>
          <w:spacing w:val="22"/>
        </w:rPr>
        <w:t> </w:t>
      </w:r>
      <w:r>
        <w:rPr>
          <w:spacing w:val="-5"/>
        </w:rPr>
        <w:t>two</w:t>
      </w:r>
    </w:p>
    <w:p>
      <w:pPr>
        <w:pStyle w:val="BodyText"/>
        <w:spacing w:line="434" w:lineRule="auto" w:before="219"/>
        <w:ind w:left="506" w:right="137" w:firstLine="5"/>
      </w:pPr>
      <w:r>
        <w:rPr>
          <w:w w:val="105"/>
        </w:rPr>
        <w:t>independent effects: one for FM status</w:t>
      </w:r>
      <w:r>
        <w:rPr>
          <w:spacing w:val="-12"/>
          <w:w w:val="105"/>
        </w:rPr>
        <w:t> </w:t>
      </w:r>
      <w:r>
        <w:rPr>
          <w:rFonts w:ascii="Arial"/>
          <w:i/>
          <w:w w:val="105"/>
        </w:rPr>
        <w:t>(/J </w:t>
      </w:r>
      <w:r>
        <w:rPr>
          <w:w w:val="105"/>
          <w:sz w:val="26"/>
        </w:rPr>
        <w:t>=</w:t>
      </w:r>
      <w:r>
        <w:rPr>
          <w:spacing w:val="-13"/>
          <w:w w:val="105"/>
          <w:sz w:val="26"/>
        </w:rPr>
        <w:t> </w:t>
      </w:r>
      <w:r>
        <w:rPr>
          <w:w w:val="105"/>
        </w:rPr>
        <w:t>.60, </w:t>
      </w:r>
      <w:r>
        <w:rPr>
          <w:i/>
          <w:w w:val="105"/>
        </w:rPr>
        <w:t>p </w:t>
      </w:r>
      <w:r>
        <w:rPr>
          <w:w w:val="105"/>
        </w:rPr>
        <w:t>&lt;</w:t>
      </w:r>
      <w:r>
        <w:rPr>
          <w:spacing w:val="-5"/>
          <w:w w:val="105"/>
        </w:rPr>
        <w:t> </w:t>
      </w:r>
      <w:r>
        <w:rPr>
          <w:w w:val="105"/>
        </w:rPr>
        <w:t>.001) and another for active leisure activity </w:t>
      </w:r>
      <w:r>
        <w:rPr>
          <w:rFonts w:ascii="Arial"/>
          <w:i/>
          <w:w w:val="105"/>
        </w:rPr>
        <w:t>(/J</w:t>
      </w:r>
      <w:r>
        <w:rPr>
          <w:rFonts w:ascii="Arial"/>
          <w:i/>
          <w:spacing w:val="-2"/>
          <w:w w:val="105"/>
        </w:rPr>
        <w:t> </w:t>
      </w:r>
      <w:r>
        <w:rPr>
          <w:w w:val="105"/>
          <w:sz w:val="26"/>
        </w:rPr>
        <w:t>=</w:t>
      </w:r>
      <w:r>
        <w:rPr>
          <w:spacing w:val="-15"/>
          <w:w w:val="105"/>
          <w:sz w:val="26"/>
        </w:rPr>
        <w:t> </w:t>
      </w:r>
      <w:r>
        <w:rPr>
          <w:w w:val="105"/>
        </w:rPr>
        <w:t>-.18, </w:t>
      </w:r>
      <w:r>
        <w:rPr>
          <w:i/>
          <w:w w:val="105"/>
        </w:rPr>
        <w:t>p</w:t>
      </w:r>
      <w:r>
        <w:rPr>
          <w:i/>
          <w:spacing w:val="-6"/>
          <w:w w:val="105"/>
        </w:rPr>
        <w:t> </w:t>
      </w:r>
      <w:r>
        <w:rPr>
          <w:w w:val="105"/>
          <w:sz w:val="26"/>
        </w:rPr>
        <w:t>=</w:t>
      </w:r>
      <w:r>
        <w:rPr>
          <w:spacing w:val="-17"/>
          <w:w w:val="105"/>
          <w:sz w:val="26"/>
        </w:rPr>
        <w:t> </w:t>
      </w:r>
      <w:r>
        <w:rPr>
          <w:w w:val="105"/>
        </w:rPr>
        <w:t>.011),</w:t>
      </w:r>
      <w:r>
        <w:rPr>
          <w:spacing w:val="-2"/>
          <w:w w:val="105"/>
        </w:rPr>
        <w:t> </w:t>
      </w:r>
      <w:r>
        <w:rPr>
          <w:w w:val="105"/>
        </w:rPr>
        <w:t>which</w:t>
      </w:r>
      <w:r>
        <w:rPr>
          <w:spacing w:val="21"/>
          <w:w w:val="105"/>
        </w:rPr>
        <w:t> </w:t>
      </w:r>
      <w:r>
        <w:rPr>
          <w:w w:val="105"/>
        </w:rPr>
        <w:t>indicated that both FM status</w:t>
      </w:r>
      <w:r>
        <w:rPr>
          <w:spacing w:val="-5"/>
          <w:w w:val="105"/>
        </w:rPr>
        <w:t> </w:t>
      </w:r>
      <w:r>
        <w:rPr>
          <w:w w:val="105"/>
        </w:rPr>
        <w:t>and active leisure activity were</w:t>
      </w:r>
      <w:r>
        <w:rPr>
          <w:spacing w:val="-7"/>
          <w:w w:val="105"/>
        </w:rPr>
        <w:t> </w:t>
      </w:r>
      <w:r>
        <w:rPr>
          <w:w w:val="105"/>
        </w:rPr>
        <w:t>significant</w:t>
      </w:r>
      <w:r>
        <w:rPr>
          <w:w w:val="105"/>
        </w:rPr>
        <w:t> predictors of</w:t>
      </w:r>
      <w:r>
        <w:rPr>
          <w:spacing w:val="-8"/>
          <w:w w:val="105"/>
        </w:rPr>
        <w:t> </w:t>
      </w:r>
      <w:r>
        <w:rPr>
          <w:w w:val="105"/>
        </w:rPr>
        <w:t>depressive symptoms. The</w:t>
      </w:r>
      <w:r>
        <w:rPr>
          <w:spacing w:val="-6"/>
          <w:w w:val="105"/>
        </w:rPr>
        <w:t> </w:t>
      </w:r>
      <w:r>
        <w:rPr>
          <w:w w:val="105"/>
        </w:rPr>
        <w:t>third</w:t>
      </w:r>
      <w:r>
        <w:rPr>
          <w:w w:val="105"/>
        </w:rPr>
        <w:t> model was used to</w:t>
      </w:r>
    </w:p>
    <w:p>
      <w:pPr>
        <w:pStyle w:val="BodyText"/>
        <w:spacing w:line="491" w:lineRule="auto" w:before="69"/>
        <w:ind w:left="516" w:right="424" w:hanging="6"/>
      </w:pPr>
      <w:r>
        <w:rPr>
          <w:w w:val="105"/>
        </w:rPr>
        <w:t>analyze the relationship</w:t>
      </w:r>
      <w:r>
        <w:rPr>
          <w:w w:val="105"/>
        </w:rPr>
        <w:t> between</w:t>
      </w:r>
      <w:r>
        <w:rPr>
          <w:w w:val="105"/>
        </w:rPr>
        <w:t> passive leisure activity and depression. The</w:t>
      </w:r>
      <w:r>
        <w:rPr>
          <w:spacing w:val="-1"/>
          <w:w w:val="105"/>
        </w:rPr>
        <w:t> </w:t>
      </w:r>
      <w:r>
        <w:rPr>
          <w:w w:val="105"/>
        </w:rPr>
        <w:t>overall model</w:t>
      </w:r>
      <w:r>
        <w:rPr>
          <w:spacing w:val="16"/>
          <w:w w:val="105"/>
        </w:rPr>
        <w:t> </w:t>
      </w:r>
      <w:r>
        <w:rPr>
          <w:w w:val="105"/>
        </w:rPr>
        <w:t>was</w:t>
      </w:r>
      <w:r>
        <w:rPr>
          <w:spacing w:val="-8"/>
          <w:w w:val="105"/>
        </w:rPr>
        <w:t> </w:t>
      </w:r>
      <w:r>
        <w:rPr>
          <w:w w:val="105"/>
        </w:rPr>
        <w:t>significant </w:t>
      </w:r>
      <w:r>
        <w:rPr>
          <w:rFonts w:ascii="Arial"/>
          <w:w w:val="105"/>
        </w:rPr>
        <w:t>[F </w:t>
      </w:r>
      <w:r>
        <w:rPr>
          <w:w w:val="105"/>
        </w:rPr>
        <w:t>(2,14</w:t>
      </w:r>
      <w:r>
        <w:rPr>
          <w:spacing w:val="-30"/>
          <w:w w:val="105"/>
        </w:rPr>
        <w:t> </w:t>
      </w:r>
      <w:r>
        <w:rPr>
          <w:w w:val="105"/>
        </w:rPr>
        <w:t>l)</w:t>
      </w:r>
      <w:r>
        <w:rPr>
          <w:spacing w:val="33"/>
          <w:w w:val="105"/>
        </w:rPr>
        <w:t> </w:t>
      </w:r>
      <w:r>
        <w:rPr>
          <w:w w:val="105"/>
        </w:rPr>
        <w:t>=</w:t>
      </w:r>
      <w:r>
        <w:rPr>
          <w:spacing w:val="-8"/>
          <w:w w:val="105"/>
        </w:rPr>
        <w:t> </w:t>
      </w:r>
      <w:r>
        <w:rPr>
          <w:w w:val="105"/>
        </w:rPr>
        <w:t>61.04,</w:t>
      </w:r>
      <w:r>
        <w:rPr>
          <w:spacing w:val="-14"/>
          <w:w w:val="105"/>
        </w:rPr>
        <w:t> </w:t>
      </w:r>
      <w:r>
        <w:rPr>
          <w:rFonts w:ascii="Arial"/>
          <w:i/>
          <w:w w:val="105"/>
          <w:sz w:val="21"/>
        </w:rPr>
        <w:t>p </w:t>
      </w:r>
      <w:r>
        <w:rPr>
          <w:w w:val="105"/>
          <w:sz w:val="21"/>
        </w:rPr>
        <w:t>&lt;</w:t>
      </w:r>
      <w:r>
        <w:rPr>
          <w:spacing w:val="-7"/>
          <w:w w:val="105"/>
          <w:sz w:val="21"/>
        </w:rPr>
        <w:t> </w:t>
      </w:r>
      <w:r>
        <w:rPr>
          <w:w w:val="105"/>
        </w:rPr>
        <w:t>.001],</w:t>
      </w:r>
      <w:r>
        <w:rPr>
          <w:spacing w:val="-1"/>
          <w:w w:val="105"/>
        </w:rPr>
        <w:t> </w:t>
      </w:r>
      <w:r>
        <w:rPr>
          <w:w w:val="105"/>
        </w:rPr>
        <w:t>explaining 46%</w:t>
      </w:r>
      <w:r>
        <w:rPr>
          <w:spacing w:val="-7"/>
          <w:w w:val="105"/>
        </w:rPr>
        <w:t> </w:t>
      </w:r>
      <w:r>
        <w:rPr>
          <w:w w:val="105"/>
        </w:rPr>
        <w:t>of</w:t>
      </w:r>
      <w:r>
        <w:rPr>
          <w:spacing w:val="-10"/>
          <w:w w:val="105"/>
        </w:rPr>
        <w:t> </w:t>
      </w:r>
      <w:r>
        <w:rPr>
          <w:w w:val="105"/>
        </w:rPr>
        <w:t>the variance in</w:t>
      </w:r>
    </w:p>
    <w:p>
      <w:pPr>
        <w:pStyle w:val="BodyText"/>
        <w:spacing w:line="272" w:lineRule="exact"/>
        <w:ind w:left="511"/>
      </w:pPr>
      <w:r>
        <w:rPr/>
        <w:t>the</w:t>
      </w:r>
      <w:r>
        <w:rPr>
          <w:spacing w:val="-14"/>
        </w:rPr>
        <w:t> </w:t>
      </w:r>
      <w:r>
        <w:rPr/>
        <w:t>dependent</w:t>
      </w:r>
      <w:r>
        <w:rPr>
          <w:spacing w:val="4"/>
        </w:rPr>
        <w:t> </w:t>
      </w:r>
      <w:r>
        <w:rPr/>
        <w:t>variable</w:t>
      </w:r>
      <w:r>
        <w:rPr>
          <w:spacing w:val="-7"/>
        </w:rPr>
        <w:t> </w:t>
      </w:r>
      <w:r>
        <w:rPr/>
        <w:t>(adjusted</w:t>
      </w:r>
      <w:r>
        <w:rPr>
          <w:spacing w:val="-1"/>
        </w:rPr>
        <w:t> </w:t>
      </w:r>
      <w:r>
        <w:rPr>
          <w:rFonts w:ascii="Arial"/>
          <w:i/>
          <w:sz w:val="29"/>
        </w:rPr>
        <w:t>R2</w:t>
      </w:r>
      <w:r>
        <w:rPr>
          <w:rFonts w:ascii="Arial"/>
          <w:i/>
          <w:spacing w:val="-21"/>
          <w:sz w:val="29"/>
        </w:rPr>
        <w:t> </w:t>
      </w:r>
      <w:r>
        <w:rPr>
          <w:sz w:val="26"/>
        </w:rPr>
        <w:t>=</w:t>
      </w:r>
      <w:r>
        <w:rPr>
          <w:spacing w:val="-16"/>
          <w:sz w:val="26"/>
        </w:rPr>
        <w:t> </w:t>
      </w:r>
      <w:r>
        <w:rPr>
          <w:spacing w:val="-2"/>
        </w:rPr>
        <w:t>.46).</w:t>
      </w:r>
    </w:p>
    <w:p>
      <w:pPr>
        <w:spacing w:after="0" w:line="272" w:lineRule="exact"/>
        <w:sectPr>
          <w:headerReference w:type="default" r:id="rId35"/>
          <w:pgSz w:w="12480" w:h="15780"/>
          <w:pgMar w:header="1053" w:footer="0" w:top="1640" w:bottom="280" w:left="1760" w:right="1720"/>
        </w:sectPr>
      </w:pPr>
    </w:p>
    <w:p>
      <w:pPr>
        <w:pStyle w:val="BodyText"/>
        <w:spacing w:before="81"/>
        <w:ind w:left="464"/>
      </w:pPr>
      <w:r>
        <w:rPr>
          <w:w w:val="105"/>
        </w:rPr>
        <w:t>Table 4.</w:t>
      </w:r>
      <w:r>
        <w:rPr>
          <w:spacing w:val="-4"/>
          <w:w w:val="105"/>
        </w:rPr>
        <w:t> </w:t>
      </w:r>
      <w:r>
        <w:rPr>
          <w:w w:val="105"/>
        </w:rPr>
        <w:t>Linear</w:t>
      </w:r>
      <w:r>
        <w:rPr>
          <w:spacing w:val="8"/>
          <w:w w:val="105"/>
        </w:rPr>
        <w:t> </w:t>
      </w:r>
      <w:r>
        <w:rPr>
          <w:w w:val="105"/>
        </w:rPr>
        <w:t>Regressions</w:t>
      </w:r>
      <w:r>
        <w:rPr>
          <w:spacing w:val="3"/>
          <w:w w:val="105"/>
        </w:rPr>
        <w:t> </w:t>
      </w:r>
      <w:r>
        <w:rPr>
          <w:w w:val="105"/>
        </w:rPr>
        <w:t>for</w:t>
      </w:r>
      <w:r>
        <w:rPr>
          <w:spacing w:val="1"/>
          <w:w w:val="105"/>
        </w:rPr>
        <w:t> </w:t>
      </w:r>
      <w:r>
        <w:rPr>
          <w:w w:val="105"/>
        </w:rPr>
        <w:t>FM</w:t>
      </w:r>
      <w:r>
        <w:rPr>
          <w:spacing w:val="1"/>
          <w:w w:val="105"/>
        </w:rPr>
        <w:t> </w:t>
      </w:r>
      <w:r>
        <w:rPr>
          <w:w w:val="105"/>
        </w:rPr>
        <w:t>Status</w:t>
      </w:r>
      <w:r>
        <w:rPr>
          <w:spacing w:val="-6"/>
          <w:w w:val="105"/>
        </w:rPr>
        <w:t> </w:t>
      </w:r>
      <w:r>
        <w:rPr>
          <w:w w:val="105"/>
        </w:rPr>
        <w:t>and</w:t>
      </w:r>
      <w:r>
        <w:rPr>
          <w:spacing w:val="9"/>
          <w:w w:val="105"/>
        </w:rPr>
        <w:t> </w:t>
      </w:r>
      <w:r>
        <w:rPr>
          <w:w w:val="105"/>
        </w:rPr>
        <w:t>Leisure</w:t>
      </w:r>
      <w:r>
        <w:rPr>
          <w:spacing w:val="2"/>
          <w:w w:val="105"/>
        </w:rPr>
        <w:t> </w:t>
      </w:r>
      <w:r>
        <w:rPr>
          <w:w w:val="105"/>
        </w:rPr>
        <w:t>Activity</w:t>
      </w:r>
      <w:r>
        <w:rPr>
          <w:spacing w:val="9"/>
          <w:w w:val="105"/>
        </w:rPr>
        <w:t> </w:t>
      </w:r>
      <w:r>
        <w:rPr>
          <w:w w:val="105"/>
        </w:rPr>
        <w:t>Predicting</w:t>
      </w:r>
      <w:r>
        <w:rPr>
          <w:spacing w:val="8"/>
          <w:w w:val="105"/>
        </w:rPr>
        <w:t> </w:t>
      </w:r>
      <w:r>
        <w:rPr>
          <w:spacing w:val="-2"/>
          <w:w w:val="105"/>
        </w:rPr>
        <w:t>Depression</w:t>
      </w:r>
    </w:p>
    <w:p>
      <w:pPr>
        <w:pStyle w:val="BodyText"/>
        <w:spacing w:before="39"/>
        <w:rPr>
          <w:sz w:val="20"/>
        </w:rPr>
      </w:pPr>
    </w:p>
    <w:tbl>
      <w:tblPr>
        <w:tblW w:w="0" w:type="auto"/>
        <w:jc w:val="left"/>
        <w:tblInd w:w="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47"/>
        <w:gridCol w:w="1648"/>
        <w:gridCol w:w="1384"/>
        <w:gridCol w:w="1365"/>
        <w:gridCol w:w="1211"/>
      </w:tblGrid>
      <w:tr>
        <w:trPr>
          <w:trHeight w:val="301" w:hRule="atLeast"/>
        </w:trPr>
        <w:tc>
          <w:tcPr>
            <w:tcW w:w="2847" w:type="dxa"/>
            <w:tcBorders>
              <w:top w:val="single" w:sz="12" w:space="0" w:color="000000"/>
              <w:bottom w:val="single" w:sz="12" w:space="0" w:color="000000"/>
            </w:tcBorders>
          </w:tcPr>
          <w:p>
            <w:pPr>
              <w:pStyle w:val="TableParagraph"/>
              <w:spacing w:line="247" w:lineRule="exact" w:before="34"/>
              <w:ind w:left="44"/>
              <w:rPr>
                <w:sz w:val="22"/>
              </w:rPr>
            </w:pPr>
            <w:r>
              <w:rPr>
                <w:spacing w:val="-2"/>
                <w:w w:val="105"/>
                <w:sz w:val="22"/>
              </w:rPr>
              <w:t>Models</w:t>
            </w:r>
          </w:p>
        </w:tc>
        <w:tc>
          <w:tcPr>
            <w:tcW w:w="1648" w:type="dxa"/>
            <w:tcBorders>
              <w:top w:val="single" w:sz="12" w:space="0" w:color="000000"/>
              <w:bottom w:val="single" w:sz="12" w:space="0" w:color="000000"/>
            </w:tcBorders>
          </w:tcPr>
          <w:p>
            <w:pPr>
              <w:pStyle w:val="TableParagraph"/>
              <w:spacing w:line="247" w:lineRule="exact" w:before="34"/>
              <w:ind w:right="122"/>
              <w:jc w:val="center"/>
              <w:rPr>
                <w:sz w:val="22"/>
              </w:rPr>
            </w:pPr>
            <w:r>
              <w:rPr>
                <w:spacing w:val="-10"/>
                <w:sz w:val="22"/>
              </w:rPr>
              <w:t>B</w:t>
            </w:r>
          </w:p>
        </w:tc>
        <w:tc>
          <w:tcPr>
            <w:tcW w:w="1384" w:type="dxa"/>
            <w:tcBorders>
              <w:top w:val="single" w:sz="12" w:space="0" w:color="000000"/>
              <w:bottom w:val="single" w:sz="12" w:space="0" w:color="000000"/>
            </w:tcBorders>
          </w:tcPr>
          <w:p>
            <w:pPr>
              <w:pStyle w:val="TableParagraph"/>
              <w:spacing w:line="242" w:lineRule="exact" w:before="39"/>
              <w:ind w:left="89" w:right="104"/>
              <w:jc w:val="center"/>
              <w:rPr>
                <w:sz w:val="22"/>
              </w:rPr>
            </w:pPr>
            <w:r>
              <w:rPr>
                <w:w w:val="105"/>
                <w:sz w:val="22"/>
              </w:rPr>
              <w:t>SE</w:t>
            </w:r>
            <w:r>
              <w:rPr>
                <w:spacing w:val="12"/>
                <w:w w:val="105"/>
                <w:sz w:val="22"/>
              </w:rPr>
              <w:t> </w:t>
            </w:r>
            <w:r>
              <w:rPr>
                <w:spacing w:val="-10"/>
                <w:w w:val="105"/>
                <w:sz w:val="22"/>
              </w:rPr>
              <w:t>B</w:t>
            </w:r>
          </w:p>
        </w:tc>
        <w:tc>
          <w:tcPr>
            <w:tcW w:w="1365" w:type="dxa"/>
            <w:tcBorders>
              <w:top w:val="single" w:sz="12" w:space="0" w:color="000000"/>
              <w:bottom w:val="single" w:sz="12" w:space="0" w:color="000000"/>
            </w:tcBorders>
          </w:tcPr>
          <w:p>
            <w:pPr>
              <w:pStyle w:val="TableParagraph"/>
              <w:rPr>
                <w:sz w:val="22"/>
              </w:rPr>
            </w:pPr>
          </w:p>
        </w:tc>
        <w:tc>
          <w:tcPr>
            <w:tcW w:w="1211" w:type="dxa"/>
            <w:tcBorders>
              <w:top w:val="single" w:sz="12" w:space="0" w:color="000000"/>
              <w:bottom w:val="single" w:sz="12" w:space="0" w:color="000000"/>
            </w:tcBorders>
          </w:tcPr>
          <w:p>
            <w:pPr>
              <w:pStyle w:val="TableParagraph"/>
              <w:spacing w:line="242" w:lineRule="exact" w:before="39"/>
              <w:ind w:left="501"/>
              <w:rPr>
                <w:sz w:val="22"/>
              </w:rPr>
            </w:pPr>
            <w:r>
              <w:rPr>
                <w:sz w:val="22"/>
              </w:rPr>
              <w:t>p-</w:t>
            </w:r>
            <w:r>
              <w:rPr>
                <w:spacing w:val="-2"/>
                <w:sz w:val="22"/>
              </w:rPr>
              <w:t>value</w:t>
            </w:r>
          </w:p>
        </w:tc>
      </w:tr>
      <w:tr>
        <w:trPr>
          <w:trHeight w:val="670" w:hRule="atLeast"/>
        </w:trPr>
        <w:tc>
          <w:tcPr>
            <w:tcW w:w="2847" w:type="dxa"/>
            <w:tcBorders>
              <w:top w:val="single" w:sz="12" w:space="0" w:color="000000"/>
            </w:tcBorders>
          </w:tcPr>
          <w:p>
            <w:pPr>
              <w:pStyle w:val="TableParagraph"/>
              <w:spacing w:before="21"/>
              <w:rPr>
                <w:sz w:val="22"/>
              </w:rPr>
            </w:pPr>
          </w:p>
          <w:p>
            <w:pPr>
              <w:pStyle w:val="TableParagraph"/>
              <w:ind w:left="34"/>
              <w:rPr>
                <w:sz w:val="22"/>
              </w:rPr>
            </w:pPr>
            <w:r>
              <w:rPr>
                <w:spacing w:val="-2"/>
                <w:w w:val="105"/>
                <w:sz w:val="22"/>
              </w:rPr>
              <w:t>(Constant)</w:t>
            </w:r>
          </w:p>
        </w:tc>
        <w:tc>
          <w:tcPr>
            <w:tcW w:w="1648" w:type="dxa"/>
            <w:tcBorders>
              <w:top w:val="single" w:sz="12" w:space="0" w:color="000000"/>
            </w:tcBorders>
          </w:tcPr>
          <w:p>
            <w:pPr>
              <w:pStyle w:val="TableParagraph"/>
              <w:spacing w:before="21"/>
              <w:rPr>
                <w:sz w:val="22"/>
              </w:rPr>
            </w:pPr>
          </w:p>
          <w:p>
            <w:pPr>
              <w:pStyle w:val="TableParagraph"/>
              <w:ind w:right="440"/>
              <w:jc w:val="right"/>
              <w:rPr>
                <w:sz w:val="22"/>
              </w:rPr>
            </w:pPr>
            <w:r>
              <w:rPr>
                <w:spacing w:val="-4"/>
                <w:w w:val="105"/>
                <w:sz w:val="22"/>
              </w:rPr>
              <w:t>10.39</w:t>
            </w:r>
          </w:p>
        </w:tc>
        <w:tc>
          <w:tcPr>
            <w:tcW w:w="1384" w:type="dxa"/>
            <w:tcBorders>
              <w:top w:val="single" w:sz="12" w:space="0" w:color="000000"/>
            </w:tcBorders>
          </w:tcPr>
          <w:p>
            <w:pPr>
              <w:pStyle w:val="TableParagraph"/>
              <w:spacing w:before="26"/>
              <w:rPr>
                <w:sz w:val="22"/>
              </w:rPr>
            </w:pPr>
          </w:p>
          <w:p>
            <w:pPr>
              <w:pStyle w:val="TableParagraph"/>
              <w:ind w:right="104"/>
              <w:jc w:val="center"/>
              <w:rPr>
                <w:sz w:val="22"/>
              </w:rPr>
            </w:pPr>
            <w:r>
              <w:rPr>
                <w:spacing w:val="-4"/>
                <w:w w:val="105"/>
                <w:sz w:val="22"/>
              </w:rPr>
              <w:t>3.75</w:t>
            </w:r>
          </w:p>
        </w:tc>
        <w:tc>
          <w:tcPr>
            <w:tcW w:w="1365" w:type="dxa"/>
            <w:tcBorders>
              <w:top w:val="single" w:sz="12" w:space="0" w:color="000000"/>
            </w:tcBorders>
          </w:tcPr>
          <w:p>
            <w:pPr>
              <w:pStyle w:val="TableParagraph"/>
              <w:rPr>
                <w:sz w:val="22"/>
              </w:rPr>
            </w:pPr>
          </w:p>
        </w:tc>
        <w:tc>
          <w:tcPr>
            <w:tcW w:w="1211" w:type="dxa"/>
            <w:tcBorders>
              <w:top w:val="single" w:sz="12" w:space="0" w:color="000000"/>
            </w:tcBorders>
          </w:tcPr>
          <w:p>
            <w:pPr>
              <w:pStyle w:val="TableParagraph"/>
              <w:spacing w:before="26"/>
              <w:rPr>
                <w:sz w:val="22"/>
              </w:rPr>
            </w:pPr>
          </w:p>
          <w:p>
            <w:pPr>
              <w:pStyle w:val="TableParagraph"/>
              <w:ind w:left="614"/>
              <w:rPr>
                <w:sz w:val="22"/>
              </w:rPr>
            </w:pPr>
            <w:r>
              <w:rPr>
                <w:spacing w:val="-4"/>
                <w:w w:val="105"/>
                <w:sz w:val="22"/>
              </w:rPr>
              <w:t>.006</w:t>
            </w:r>
          </w:p>
        </w:tc>
      </w:tr>
      <w:tr>
        <w:trPr>
          <w:trHeight w:val="521" w:hRule="atLeast"/>
        </w:trPr>
        <w:tc>
          <w:tcPr>
            <w:tcW w:w="2847" w:type="dxa"/>
          </w:tcPr>
          <w:p>
            <w:pPr>
              <w:pStyle w:val="TableParagraph"/>
              <w:spacing w:before="128"/>
              <w:ind w:left="44"/>
              <w:rPr>
                <w:sz w:val="22"/>
              </w:rPr>
            </w:pPr>
            <w:r>
              <w:rPr>
                <w:w w:val="105"/>
                <w:sz w:val="22"/>
              </w:rPr>
              <w:t>FM</w:t>
            </w:r>
            <w:r>
              <w:rPr>
                <w:spacing w:val="-7"/>
                <w:w w:val="105"/>
                <w:sz w:val="22"/>
              </w:rPr>
              <w:t> </w:t>
            </w:r>
            <w:r>
              <w:rPr>
                <w:spacing w:val="-2"/>
                <w:w w:val="105"/>
                <w:sz w:val="22"/>
              </w:rPr>
              <w:t>status</w:t>
            </w:r>
          </w:p>
        </w:tc>
        <w:tc>
          <w:tcPr>
            <w:tcW w:w="1648" w:type="dxa"/>
          </w:tcPr>
          <w:p>
            <w:pPr>
              <w:pStyle w:val="TableParagraph"/>
              <w:spacing w:before="128"/>
              <w:ind w:right="435"/>
              <w:jc w:val="right"/>
              <w:rPr>
                <w:sz w:val="22"/>
              </w:rPr>
            </w:pPr>
            <w:r>
              <w:rPr>
                <w:spacing w:val="-4"/>
                <w:w w:val="105"/>
                <w:sz w:val="22"/>
              </w:rPr>
              <w:t>11.98</w:t>
            </w:r>
          </w:p>
        </w:tc>
        <w:tc>
          <w:tcPr>
            <w:tcW w:w="1384" w:type="dxa"/>
          </w:tcPr>
          <w:p>
            <w:pPr>
              <w:pStyle w:val="TableParagraph"/>
              <w:spacing w:before="133"/>
              <w:ind w:left="9" w:right="104"/>
              <w:jc w:val="center"/>
              <w:rPr>
                <w:sz w:val="22"/>
              </w:rPr>
            </w:pPr>
            <w:r>
              <w:rPr>
                <w:spacing w:val="-4"/>
                <w:w w:val="105"/>
                <w:sz w:val="22"/>
              </w:rPr>
              <w:t>1.26</w:t>
            </w:r>
          </w:p>
        </w:tc>
        <w:tc>
          <w:tcPr>
            <w:tcW w:w="1365" w:type="dxa"/>
          </w:tcPr>
          <w:p>
            <w:pPr>
              <w:pStyle w:val="TableParagraph"/>
              <w:spacing w:before="133"/>
              <w:ind w:right="502"/>
              <w:jc w:val="right"/>
              <w:rPr>
                <w:sz w:val="22"/>
              </w:rPr>
            </w:pPr>
            <w:r>
              <w:rPr>
                <w:spacing w:val="-5"/>
                <w:w w:val="105"/>
                <w:sz w:val="22"/>
              </w:rPr>
              <w:t>.64</w:t>
            </w:r>
          </w:p>
        </w:tc>
        <w:tc>
          <w:tcPr>
            <w:tcW w:w="1211" w:type="dxa"/>
          </w:tcPr>
          <w:p>
            <w:pPr>
              <w:pStyle w:val="TableParagraph"/>
              <w:spacing w:before="133"/>
              <w:ind w:left="496"/>
              <w:rPr>
                <w:sz w:val="22"/>
              </w:rPr>
            </w:pPr>
            <w:r>
              <w:rPr>
                <w:spacing w:val="-4"/>
                <w:w w:val="105"/>
                <w:sz w:val="22"/>
              </w:rPr>
              <w:t>&lt;.001</w:t>
            </w:r>
          </w:p>
        </w:tc>
      </w:tr>
      <w:tr>
        <w:trPr>
          <w:trHeight w:val="599" w:hRule="atLeast"/>
        </w:trPr>
        <w:tc>
          <w:tcPr>
            <w:tcW w:w="2847" w:type="dxa"/>
            <w:tcBorders>
              <w:bottom w:val="single" w:sz="12" w:space="0" w:color="000000"/>
            </w:tcBorders>
          </w:tcPr>
          <w:p>
            <w:pPr>
              <w:pStyle w:val="TableParagraph"/>
              <w:spacing w:before="126"/>
              <w:ind w:left="35"/>
              <w:rPr>
                <w:sz w:val="22"/>
              </w:rPr>
            </w:pPr>
            <w:r>
              <w:rPr>
                <w:w w:val="105"/>
                <w:sz w:val="22"/>
              </w:rPr>
              <w:t>Overall</w:t>
            </w:r>
            <w:r>
              <w:rPr>
                <w:spacing w:val="9"/>
                <w:w w:val="105"/>
                <w:sz w:val="22"/>
              </w:rPr>
              <w:t> </w:t>
            </w:r>
            <w:r>
              <w:rPr>
                <w:w w:val="105"/>
                <w:sz w:val="22"/>
              </w:rPr>
              <w:t>leisure</w:t>
            </w:r>
            <w:r>
              <w:rPr>
                <w:spacing w:val="-9"/>
                <w:w w:val="105"/>
                <w:sz w:val="22"/>
              </w:rPr>
              <w:t> </w:t>
            </w:r>
            <w:r>
              <w:rPr>
                <w:spacing w:val="-2"/>
                <w:w w:val="105"/>
                <w:sz w:val="22"/>
              </w:rPr>
              <w:t>activity</w:t>
            </w:r>
          </w:p>
        </w:tc>
        <w:tc>
          <w:tcPr>
            <w:tcW w:w="1648" w:type="dxa"/>
            <w:tcBorders>
              <w:bottom w:val="single" w:sz="12" w:space="0" w:color="000000"/>
            </w:tcBorders>
          </w:tcPr>
          <w:p>
            <w:pPr>
              <w:pStyle w:val="TableParagraph"/>
              <w:spacing w:before="126"/>
              <w:ind w:right="482"/>
              <w:jc w:val="right"/>
              <w:rPr>
                <w:sz w:val="22"/>
              </w:rPr>
            </w:pPr>
            <w:r>
              <w:rPr>
                <w:w w:val="105"/>
                <w:sz w:val="22"/>
              </w:rPr>
              <w:t>-</w:t>
            </w:r>
            <w:r>
              <w:rPr>
                <w:spacing w:val="-4"/>
                <w:w w:val="105"/>
                <w:sz w:val="22"/>
              </w:rPr>
              <w:t>2.32</w:t>
            </w:r>
          </w:p>
        </w:tc>
        <w:tc>
          <w:tcPr>
            <w:tcW w:w="1384" w:type="dxa"/>
            <w:tcBorders>
              <w:bottom w:val="single" w:sz="12" w:space="0" w:color="000000"/>
            </w:tcBorders>
          </w:tcPr>
          <w:p>
            <w:pPr>
              <w:pStyle w:val="TableParagraph"/>
              <w:spacing w:before="131"/>
              <w:ind w:left="13" w:right="104"/>
              <w:jc w:val="center"/>
              <w:rPr>
                <w:sz w:val="22"/>
              </w:rPr>
            </w:pPr>
            <w:r>
              <w:rPr>
                <w:spacing w:val="-4"/>
                <w:w w:val="105"/>
                <w:sz w:val="22"/>
              </w:rPr>
              <w:t>1.39</w:t>
            </w:r>
          </w:p>
        </w:tc>
        <w:tc>
          <w:tcPr>
            <w:tcW w:w="1365" w:type="dxa"/>
            <w:tcBorders>
              <w:bottom w:val="single" w:sz="12" w:space="0" w:color="000000"/>
            </w:tcBorders>
          </w:tcPr>
          <w:p>
            <w:pPr>
              <w:pStyle w:val="TableParagraph"/>
              <w:spacing w:before="131"/>
              <w:ind w:right="549"/>
              <w:jc w:val="right"/>
              <w:rPr>
                <w:sz w:val="22"/>
              </w:rPr>
            </w:pPr>
            <w:r>
              <w:rPr>
                <w:sz w:val="22"/>
              </w:rPr>
              <w:t>-</w:t>
            </w:r>
            <w:r>
              <w:rPr>
                <w:spacing w:val="-5"/>
                <w:sz w:val="22"/>
              </w:rPr>
              <w:t>.11</w:t>
            </w:r>
          </w:p>
        </w:tc>
        <w:tc>
          <w:tcPr>
            <w:tcW w:w="1211" w:type="dxa"/>
            <w:tcBorders>
              <w:bottom w:val="single" w:sz="12" w:space="0" w:color="000000"/>
            </w:tcBorders>
          </w:tcPr>
          <w:p>
            <w:pPr>
              <w:pStyle w:val="TableParagraph"/>
              <w:spacing w:before="131"/>
              <w:ind w:left="614"/>
              <w:rPr>
                <w:sz w:val="22"/>
              </w:rPr>
            </w:pPr>
            <w:r>
              <w:rPr>
                <w:spacing w:val="-4"/>
                <w:w w:val="105"/>
                <w:sz w:val="22"/>
              </w:rPr>
              <w:t>.098</w:t>
            </w:r>
          </w:p>
        </w:tc>
      </w:tr>
      <w:tr>
        <w:trPr>
          <w:trHeight w:val="674" w:hRule="atLeast"/>
        </w:trPr>
        <w:tc>
          <w:tcPr>
            <w:tcW w:w="2847" w:type="dxa"/>
            <w:tcBorders>
              <w:top w:val="single" w:sz="12" w:space="0" w:color="000000"/>
            </w:tcBorders>
          </w:tcPr>
          <w:p>
            <w:pPr>
              <w:pStyle w:val="TableParagraph"/>
              <w:spacing w:before="26"/>
              <w:rPr>
                <w:sz w:val="22"/>
              </w:rPr>
            </w:pPr>
          </w:p>
          <w:p>
            <w:pPr>
              <w:pStyle w:val="TableParagraph"/>
              <w:ind w:left="39"/>
              <w:rPr>
                <w:sz w:val="22"/>
              </w:rPr>
            </w:pPr>
            <w:r>
              <w:rPr>
                <w:spacing w:val="-2"/>
                <w:w w:val="105"/>
                <w:sz w:val="22"/>
              </w:rPr>
              <w:t>(Constant)</w:t>
            </w:r>
          </w:p>
        </w:tc>
        <w:tc>
          <w:tcPr>
            <w:tcW w:w="1648" w:type="dxa"/>
            <w:tcBorders>
              <w:top w:val="single" w:sz="12" w:space="0" w:color="000000"/>
            </w:tcBorders>
          </w:tcPr>
          <w:p>
            <w:pPr>
              <w:pStyle w:val="TableParagraph"/>
              <w:spacing w:before="26"/>
              <w:rPr>
                <w:sz w:val="22"/>
              </w:rPr>
            </w:pPr>
          </w:p>
          <w:p>
            <w:pPr>
              <w:pStyle w:val="TableParagraph"/>
              <w:ind w:right="440"/>
              <w:jc w:val="right"/>
              <w:rPr>
                <w:sz w:val="22"/>
              </w:rPr>
            </w:pPr>
            <w:r>
              <w:rPr>
                <w:spacing w:val="-4"/>
                <w:w w:val="105"/>
                <w:sz w:val="22"/>
              </w:rPr>
              <w:t>12.83</w:t>
            </w:r>
          </w:p>
        </w:tc>
        <w:tc>
          <w:tcPr>
            <w:tcW w:w="1384" w:type="dxa"/>
            <w:tcBorders>
              <w:top w:val="single" w:sz="12" w:space="0" w:color="000000"/>
            </w:tcBorders>
          </w:tcPr>
          <w:p>
            <w:pPr>
              <w:pStyle w:val="TableParagraph"/>
              <w:spacing w:before="31"/>
              <w:rPr>
                <w:sz w:val="22"/>
              </w:rPr>
            </w:pPr>
          </w:p>
          <w:p>
            <w:pPr>
              <w:pStyle w:val="TableParagraph"/>
              <w:ind w:left="13" w:right="104"/>
              <w:jc w:val="center"/>
              <w:rPr>
                <w:sz w:val="22"/>
              </w:rPr>
            </w:pPr>
            <w:r>
              <w:rPr>
                <w:spacing w:val="-4"/>
                <w:w w:val="105"/>
                <w:sz w:val="22"/>
              </w:rPr>
              <w:t>3.40</w:t>
            </w:r>
          </w:p>
        </w:tc>
        <w:tc>
          <w:tcPr>
            <w:tcW w:w="1365" w:type="dxa"/>
            <w:tcBorders>
              <w:top w:val="single" w:sz="12" w:space="0" w:color="000000"/>
            </w:tcBorders>
          </w:tcPr>
          <w:p>
            <w:pPr>
              <w:pStyle w:val="TableParagraph"/>
              <w:rPr>
                <w:sz w:val="22"/>
              </w:rPr>
            </w:pPr>
          </w:p>
        </w:tc>
        <w:tc>
          <w:tcPr>
            <w:tcW w:w="1211" w:type="dxa"/>
            <w:tcBorders>
              <w:top w:val="single" w:sz="12" w:space="0" w:color="000000"/>
            </w:tcBorders>
          </w:tcPr>
          <w:p>
            <w:pPr>
              <w:pStyle w:val="TableParagraph"/>
              <w:spacing w:before="31"/>
              <w:rPr>
                <w:sz w:val="22"/>
              </w:rPr>
            </w:pPr>
          </w:p>
          <w:p>
            <w:pPr>
              <w:pStyle w:val="TableParagraph"/>
              <w:ind w:left="501"/>
              <w:rPr>
                <w:sz w:val="22"/>
              </w:rPr>
            </w:pPr>
            <w:r>
              <w:rPr>
                <w:spacing w:val="-2"/>
                <w:sz w:val="22"/>
              </w:rPr>
              <w:t>&lt;.001</w:t>
            </w:r>
          </w:p>
        </w:tc>
      </w:tr>
      <w:tr>
        <w:trPr>
          <w:trHeight w:val="521" w:hRule="atLeast"/>
        </w:trPr>
        <w:tc>
          <w:tcPr>
            <w:tcW w:w="2847" w:type="dxa"/>
          </w:tcPr>
          <w:p>
            <w:pPr>
              <w:pStyle w:val="TableParagraph"/>
              <w:spacing w:before="133"/>
              <w:ind w:left="54"/>
              <w:rPr>
                <w:sz w:val="22"/>
              </w:rPr>
            </w:pPr>
            <w:r>
              <w:rPr>
                <w:sz w:val="22"/>
              </w:rPr>
              <w:t>FM</w:t>
            </w:r>
            <w:r>
              <w:rPr>
                <w:spacing w:val="7"/>
                <w:sz w:val="22"/>
              </w:rPr>
              <w:t> </w:t>
            </w:r>
            <w:r>
              <w:rPr>
                <w:spacing w:val="-2"/>
                <w:sz w:val="22"/>
              </w:rPr>
              <w:t>status</w:t>
            </w:r>
          </w:p>
        </w:tc>
        <w:tc>
          <w:tcPr>
            <w:tcW w:w="1648" w:type="dxa"/>
          </w:tcPr>
          <w:p>
            <w:pPr>
              <w:pStyle w:val="TableParagraph"/>
              <w:spacing w:before="128"/>
              <w:ind w:right="440"/>
              <w:jc w:val="right"/>
              <w:rPr>
                <w:sz w:val="22"/>
              </w:rPr>
            </w:pPr>
            <w:r>
              <w:rPr>
                <w:spacing w:val="-4"/>
                <w:w w:val="105"/>
                <w:sz w:val="22"/>
              </w:rPr>
              <w:t>11.23</w:t>
            </w:r>
          </w:p>
        </w:tc>
        <w:tc>
          <w:tcPr>
            <w:tcW w:w="1384" w:type="dxa"/>
          </w:tcPr>
          <w:p>
            <w:pPr>
              <w:pStyle w:val="TableParagraph"/>
              <w:spacing w:before="133"/>
              <w:ind w:left="18" w:right="104"/>
              <w:jc w:val="center"/>
              <w:rPr>
                <w:sz w:val="22"/>
              </w:rPr>
            </w:pPr>
            <w:r>
              <w:rPr>
                <w:spacing w:val="-4"/>
                <w:w w:val="105"/>
                <w:sz w:val="22"/>
              </w:rPr>
              <w:t>1.29</w:t>
            </w:r>
          </w:p>
        </w:tc>
        <w:tc>
          <w:tcPr>
            <w:tcW w:w="1365" w:type="dxa"/>
          </w:tcPr>
          <w:p>
            <w:pPr>
              <w:pStyle w:val="TableParagraph"/>
              <w:spacing w:before="133"/>
              <w:ind w:right="497"/>
              <w:jc w:val="right"/>
              <w:rPr>
                <w:sz w:val="22"/>
              </w:rPr>
            </w:pPr>
            <w:r>
              <w:rPr>
                <w:spacing w:val="-5"/>
                <w:w w:val="105"/>
                <w:sz w:val="22"/>
              </w:rPr>
              <w:t>.60</w:t>
            </w:r>
          </w:p>
        </w:tc>
        <w:tc>
          <w:tcPr>
            <w:tcW w:w="1211" w:type="dxa"/>
          </w:tcPr>
          <w:p>
            <w:pPr>
              <w:pStyle w:val="TableParagraph"/>
              <w:spacing w:before="128"/>
              <w:ind w:left="501"/>
              <w:rPr>
                <w:sz w:val="22"/>
              </w:rPr>
            </w:pPr>
            <w:r>
              <w:rPr>
                <w:spacing w:val="-2"/>
                <w:sz w:val="22"/>
              </w:rPr>
              <w:t>&lt;.001</w:t>
            </w:r>
          </w:p>
        </w:tc>
      </w:tr>
      <w:tr>
        <w:trPr>
          <w:trHeight w:val="609" w:hRule="atLeast"/>
        </w:trPr>
        <w:tc>
          <w:tcPr>
            <w:tcW w:w="2847" w:type="dxa"/>
            <w:tcBorders>
              <w:bottom w:val="single" w:sz="12" w:space="0" w:color="000000"/>
            </w:tcBorders>
          </w:tcPr>
          <w:p>
            <w:pPr>
              <w:pStyle w:val="TableParagraph"/>
              <w:spacing w:before="131"/>
              <w:ind w:left="46"/>
              <w:rPr>
                <w:sz w:val="22"/>
              </w:rPr>
            </w:pPr>
            <w:r>
              <w:rPr>
                <w:w w:val="105"/>
                <w:sz w:val="22"/>
              </w:rPr>
              <w:t>Active</w:t>
            </w:r>
            <w:r>
              <w:rPr>
                <w:spacing w:val="1"/>
                <w:w w:val="105"/>
                <w:sz w:val="22"/>
              </w:rPr>
              <w:t> </w:t>
            </w:r>
            <w:r>
              <w:rPr>
                <w:w w:val="105"/>
                <w:sz w:val="22"/>
              </w:rPr>
              <w:t>leisure</w:t>
            </w:r>
            <w:r>
              <w:rPr>
                <w:spacing w:val="-11"/>
                <w:w w:val="105"/>
                <w:sz w:val="22"/>
              </w:rPr>
              <w:t> </w:t>
            </w:r>
            <w:r>
              <w:rPr>
                <w:spacing w:val="-2"/>
                <w:w w:val="105"/>
                <w:sz w:val="22"/>
              </w:rPr>
              <w:t>activity</w:t>
            </w:r>
          </w:p>
        </w:tc>
        <w:tc>
          <w:tcPr>
            <w:tcW w:w="1648" w:type="dxa"/>
            <w:tcBorders>
              <w:bottom w:val="single" w:sz="12" w:space="0" w:color="000000"/>
            </w:tcBorders>
          </w:tcPr>
          <w:p>
            <w:pPr>
              <w:pStyle w:val="TableParagraph"/>
              <w:spacing w:before="126"/>
              <w:ind w:right="472"/>
              <w:jc w:val="right"/>
              <w:rPr>
                <w:sz w:val="22"/>
              </w:rPr>
            </w:pPr>
            <w:r>
              <w:rPr>
                <w:w w:val="105"/>
                <w:sz w:val="22"/>
              </w:rPr>
              <w:t>-</w:t>
            </w:r>
            <w:r>
              <w:rPr>
                <w:spacing w:val="-4"/>
                <w:w w:val="105"/>
                <w:sz w:val="22"/>
              </w:rPr>
              <w:t>2.99</w:t>
            </w:r>
          </w:p>
        </w:tc>
        <w:tc>
          <w:tcPr>
            <w:tcW w:w="1384" w:type="dxa"/>
            <w:tcBorders>
              <w:bottom w:val="single" w:sz="12" w:space="0" w:color="000000"/>
            </w:tcBorders>
          </w:tcPr>
          <w:p>
            <w:pPr>
              <w:pStyle w:val="TableParagraph"/>
              <w:spacing w:before="131"/>
              <w:ind w:left="18" w:right="104"/>
              <w:jc w:val="center"/>
              <w:rPr>
                <w:sz w:val="22"/>
              </w:rPr>
            </w:pPr>
            <w:r>
              <w:rPr>
                <w:spacing w:val="-4"/>
                <w:w w:val="105"/>
                <w:sz w:val="22"/>
              </w:rPr>
              <w:t>1.16</w:t>
            </w:r>
          </w:p>
        </w:tc>
        <w:tc>
          <w:tcPr>
            <w:tcW w:w="1365" w:type="dxa"/>
            <w:tcBorders>
              <w:bottom w:val="single" w:sz="12" w:space="0" w:color="000000"/>
            </w:tcBorders>
          </w:tcPr>
          <w:p>
            <w:pPr>
              <w:pStyle w:val="TableParagraph"/>
              <w:spacing w:before="131"/>
              <w:ind w:right="539"/>
              <w:jc w:val="right"/>
              <w:rPr>
                <w:sz w:val="22"/>
              </w:rPr>
            </w:pPr>
            <w:r>
              <w:rPr>
                <w:w w:val="105"/>
                <w:sz w:val="22"/>
              </w:rPr>
              <w:t>-</w:t>
            </w:r>
            <w:r>
              <w:rPr>
                <w:spacing w:val="-5"/>
                <w:w w:val="105"/>
                <w:sz w:val="22"/>
              </w:rPr>
              <w:t>.18</w:t>
            </w:r>
          </w:p>
        </w:tc>
        <w:tc>
          <w:tcPr>
            <w:tcW w:w="1211" w:type="dxa"/>
            <w:tcBorders>
              <w:bottom w:val="single" w:sz="12" w:space="0" w:color="000000"/>
            </w:tcBorders>
          </w:tcPr>
          <w:p>
            <w:pPr>
              <w:pStyle w:val="TableParagraph"/>
              <w:spacing w:before="131"/>
              <w:ind w:left="614"/>
              <w:rPr>
                <w:sz w:val="22"/>
              </w:rPr>
            </w:pPr>
            <w:r>
              <w:rPr>
                <w:spacing w:val="-4"/>
                <w:w w:val="105"/>
                <w:sz w:val="22"/>
              </w:rPr>
              <w:t>.011</w:t>
            </w:r>
          </w:p>
        </w:tc>
      </w:tr>
      <w:tr>
        <w:trPr>
          <w:trHeight w:val="665" w:hRule="atLeast"/>
        </w:trPr>
        <w:tc>
          <w:tcPr>
            <w:tcW w:w="2847" w:type="dxa"/>
            <w:tcBorders>
              <w:top w:val="single" w:sz="12" w:space="0" w:color="000000"/>
            </w:tcBorders>
          </w:tcPr>
          <w:p>
            <w:pPr>
              <w:pStyle w:val="TableParagraph"/>
              <w:spacing w:before="21"/>
              <w:rPr>
                <w:sz w:val="22"/>
              </w:rPr>
            </w:pPr>
          </w:p>
          <w:p>
            <w:pPr>
              <w:pStyle w:val="TableParagraph"/>
              <w:ind w:left="43"/>
              <w:rPr>
                <w:sz w:val="22"/>
              </w:rPr>
            </w:pPr>
            <w:r>
              <w:rPr>
                <w:spacing w:val="-2"/>
                <w:w w:val="105"/>
                <w:sz w:val="22"/>
              </w:rPr>
              <w:t>(Constant)</w:t>
            </w:r>
          </w:p>
        </w:tc>
        <w:tc>
          <w:tcPr>
            <w:tcW w:w="1648" w:type="dxa"/>
            <w:tcBorders>
              <w:top w:val="single" w:sz="12" w:space="0" w:color="000000"/>
            </w:tcBorders>
          </w:tcPr>
          <w:p>
            <w:pPr>
              <w:pStyle w:val="TableParagraph"/>
              <w:spacing w:before="16"/>
              <w:rPr>
                <w:sz w:val="22"/>
              </w:rPr>
            </w:pPr>
          </w:p>
          <w:p>
            <w:pPr>
              <w:pStyle w:val="TableParagraph"/>
              <w:spacing w:before="1"/>
              <w:ind w:right="435"/>
              <w:jc w:val="right"/>
              <w:rPr>
                <w:sz w:val="22"/>
              </w:rPr>
            </w:pPr>
            <w:r>
              <w:rPr>
                <w:spacing w:val="-4"/>
                <w:w w:val="105"/>
                <w:sz w:val="22"/>
              </w:rPr>
              <w:t>4.05</w:t>
            </w:r>
          </w:p>
        </w:tc>
        <w:tc>
          <w:tcPr>
            <w:tcW w:w="1384" w:type="dxa"/>
            <w:tcBorders>
              <w:top w:val="single" w:sz="12" w:space="0" w:color="000000"/>
            </w:tcBorders>
          </w:tcPr>
          <w:p>
            <w:pPr>
              <w:pStyle w:val="TableParagraph"/>
              <w:spacing w:before="21"/>
              <w:rPr>
                <w:sz w:val="22"/>
              </w:rPr>
            </w:pPr>
          </w:p>
          <w:p>
            <w:pPr>
              <w:pStyle w:val="TableParagraph"/>
              <w:ind w:left="18" w:right="104"/>
              <w:jc w:val="center"/>
              <w:rPr>
                <w:sz w:val="22"/>
              </w:rPr>
            </w:pPr>
            <w:r>
              <w:rPr>
                <w:spacing w:val="-4"/>
                <w:w w:val="105"/>
                <w:sz w:val="22"/>
              </w:rPr>
              <w:t>2.73</w:t>
            </w:r>
          </w:p>
        </w:tc>
        <w:tc>
          <w:tcPr>
            <w:tcW w:w="1365" w:type="dxa"/>
            <w:tcBorders>
              <w:top w:val="single" w:sz="12" w:space="0" w:color="000000"/>
            </w:tcBorders>
          </w:tcPr>
          <w:p>
            <w:pPr>
              <w:pStyle w:val="TableParagraph"/>
              <w:rPr>
                <w:sz w:val="22"/>
              </w:rPr>
            </w:pPr>
          </w:p>
        </w:tc>
        <w:tc>
          <w:tcPr>
            <w:tcW w:w="1211" w:type="dxa"/>
            <w:tcBorders>
              <w:top w:val="single" w:sz="12" w:space="0" w:color="000000"/>
            </w:tcBorders>
          </w:tcPr>
          <w:p>
            <w:pPr>
              <w:pStyle w:val="TableParagraph"/>
              <w:spacing w:before="21"/>
              <w:rPr>
                <w:sz w:val="22"/>
              </w:rPr>
            </w:pPr>
          </w:p>
          <w:p>
            <w:pPr>
              <w:pStyle w:val="TableParagraph"/>
              <w:ind w:left="672"/>
              <w:rPr>
                <w:sz w:val="22"/>
              </w:rPr>
            </w:pPr>
            <w:r>
              <w:rPr>
                <w:spacing w:val="-4"/>
                <w:w w:val="105"/>
                <w:sz w:val="22"/>
              </w:rPr>
              <w:t>.140</w:t>
            </w:r>
          </w:p>
        </w:tc>
      </w:tr>
      <w:tr>
        <w:trPr>
          <w:trHeight w:val="521" w:hRule="atLeast"/>
        </w:trPr>
        <w:tc>
          <w:tcPr>
            <w:tcW w:w="2847" w:type="dxa"/>
          </w:tcPr>
          <w:p>
            <w:pPr>
              <w:pStyle w:val="TableParagraph"/>
              <w:spacing w:before="133"/>
              <w:ind w:left="54"/>
              <w:rPr>
                <w:sz w:val="22"/>
              </w:rPr>
            </w:pPr>
            <w:r>
              <w:rPr>
                <w:w w:val="105"/>
                <w:sz w:val="22"/>
              </w:rPr>
              <w:t>FM</w:t>
            </w:r>
            <w:r>
              <w:rPr>
                <w:spacing w:val="-12"/>
                <w:w w:val="105"/>
                <w:sz w:val="22"/>
              </w:rPr>
              <w:t> </w:t>
            </w:r>
            <w:r>
              <w:rPr>
                <w:spacing w:val="-2"/>
                <w:w w:val="105"/>
                <w:sz w:val="22"/>
              </w:rPr>
              <w:t>status</w:t>
            </w:r>
          </w:p>
        </w:tc>
        <w:tc>
          <w:tcPr>
            <w:tcW w:w="1648" w:type="dxa"/>
          </w:tcPr>
          <w:p>
            <w:pPr>
              <w:pStyle w:val="TableParagraph"/>
              <w:spacing w:before="128"/>
              <w:ind w:right="435"/>
              <w:jc w:val="right"/>
              <w:rPr>
                <w:sz w:val="22"/>
              </w:rPr>
            </w:pPr>
            <w:r>
              <w:rPr>
                <w:spacing w:val="-4"/>
                <w:w w:val="105"/>
                <w:sz w:val="22"/>
              </w:rPr>
              <w:t>12.88</w:t>
            </w:r>
          </w:p>
        </w:tc>
        <w:tc>
          <w:tcPr>
            <w:tcW w:w="1384" w:type="dxa"/>
          </w:tcPr>
          <w:p>
            <w:pPr>
              <w:pStyle w:val="TableParagraph"/>
              <w:spacing w:before="128"/>
              <w:ind w:left="28" w:right="104"/>
              <w:jc w:val="center"/>
              <w:rPr>
                <w:sz w:val="22"/>
              </w:rPr>
            </w:pPr>
            <w:r>
              <w:rPr>
                <w:spacing w:val="-4"/>
                <w:w w:val="105"/>
                <w:sz w:val="22"/>
              </w:rPr>
              <w:t>1.17</w:t>
            </w:r>
          </w:p>
        </w:tc>
        <w:tc>
          <w:tcPr>
            <w:tcW w:w="1365" w:type="dxa"/>
          </w:tcPr>
          <w:p>
            <w:pPr>
              <w:pStyle w:val="TableParagraph"/>
              <w:spacing w:before="128"/>
              <w:ind w:right="492"/>
              <w:jc w:val="right"/>
              <w:rPr>
                <w:sz w:val="22"/>
              </w:rPr>
            </w:pPr>
            <w:r>
              <w:rPr>
                <w:spacing w:val="-5"/>
                <w:w w:val="105"/>
                <w:sz w:val="22"/>
              </w:rPr>
              <w:t>.68</w:t>
            </w:r>
          </w:p>
        </w:tc>
        <w:tc>
          <w:tcPr>
            <w:tcW w:w="1211" w:type="dxa"/>
          </w:tcPr>
          <w:p>
            <w:pPr>
              <w:pStyle w:val="TableParagraph"/>
              <w:spacing w:before="128"/>
              <w:ind w:left="501"/>
              <w:rPr>
                <w:sz w:val="22"/>
              </w:rPr>
            </w:pPr>
            <w:r>
              <w:rPr>
                <w:spacing w:val="-4"/>
                <w:w w:val="115"/>
                <w:sz w:val="22"/>
              </w:rPr>
              <w:t>&lt;.001</w:t>
            </w:r>
          </w:p>
        </w:tc>
      </w:tr>
      <w:tr>
        <w:trPr>
          <w:trHeight w:val="395" w:hRule="atLeast"/>
        </w:trPr>
        <w:tc>
          <w:tcPr>
            <w:tcW w:w="2847" w:type="dxa"/>
            <w:tcBorders>
              <w:bottom w:val="single" w:sz="18" w:space="0" w:color="000000"/>
            </w:tcBorders>
          </w:tcPr>
          <w:p>
            <w:pPr>
              <w:pStyle w:val="TableParagraph"/>
              <w:spacing w:line="245" w:lineRule="exact" w:before="131"/>
              <w:ind w:left="58"/>
              <w:rPr>
                <w:sz w:val="22"/>
              </w:rPr>
            </w:pPr>
            <w:r>
              <w:rPr>
                <w:w w:val="105"/>
                <w:sz w:val="22"/>
              </w:rPr>
              <w:t>Passive</w:t>
            </w:r>
            <w:r>
              <w:rPr>
                <w:spacing w:val="-2"/>
                <w:w w:val="105"/>
                <w:sz w:val="22"/>
              </w:rPr>
              <w:t> </w:t>
            </w:r>
            <w:r>
              <w:rPr>
                <w:w w:val="105"/>
                <w:sz w:val="22"/>
              </w:rPr>
              <w:t>leisure</w:t>
            </w:r>
            <w:r>
              <w:rPr>
                <w:spacing w:val="-12"/>
                <w:w w:val="105"/>
                <w:sz w:val="22"/>
              </w:rPr>
              <w:t> </w:t>
            </w:r>
            <w:r>
              <w:rPr>
                <w:spacing w:val="-2"/>
                <w:w w:val="105"/>
                <w:sz w:val="22"/>
              </w:rPr>
              <w:t>activity</w:t>
            </w:r>
          </w:p>
        </w:tc>
        <w:tc>
          <w:tcPr>
            <w:tcW w:w="1648" w:type="dxa"/>
            <w:tcBorders>
              <w:bottom w:val="single" w:sz="18" w:space="0" w:color="000000"/>
            </w:tcBorders>
          </w:tcPr>
          <w:p>
            <w:pPr>
              <w:pStyle w:val="TableParagraph"/>
              <w:spacing w:line="249" w:lineRule="exact" w:before="126"/>
              <w:ind w:right="486"/>
              <w:jc w:val="right"/>
              <w:rPr>
                <w:sz w:val="22"/>
              </w:rPr>
            </w:pPr>
            <w:r>
              <w:rPr>
                <w:sz w:val="22"/>
              </w:rPr>
              <w:t>.</w:t>
            </w:r>
            <w:r>
              <w:rPr>
                <w:spacing w:val="-23"/>
                <w:sz w:val="22"/>
              </w:rPr>
              <w:t> </w:t>
            </w:r>
            <w:r>
              <w:rPr>
                <w:spacing w:val="-5"/>
                <w:sz w:val="22"/>
              </w:rPr>
              <w:t>JO</w:t>
            </w:r>
          </w:p>
        </w:tc>
        <w:tc>
          <w:tcPr>
            <w:tcW w:w="1384" w:type="dxa"/>
            <w:tcBorders>
              <w:bottom w:val="single" w:sz="18" w:space="0" w:color="000000"/>
            </w:tcBorders>
          </w:tcPr>
          <w:p>
            <w:pPr>
              <w:pStyle w:val="TableParagraph"/>
              <w:spacing w:line="245" w:lineRule="exact" w:before="131"/>
              <w:ind w:left="24" w:right="104"/>
              <w:jc w:val="center"/>
              <w:rPr>
                <w:sz w:val="22"/>
              </w:rPr>
            </w:pPr>
            <w:r>
              <w:rPr>
                <w:spacing w:val="-4"/>
                <w:w w:val="105"/>
                <w:sz w:val="22"/>
              </w:rPr>
              <w:t>1.12</w:t>
            </w:r>
          </w:p>
        </w:tc>
        <w:tc>
          <w:tcPr>
            <w:tcW w:w="1365" w:type="dxa"/>
            <w:tcBorders>
              <w:bottom w:val="single" w:sz="18" w:space="0" w:color="000000"/>
            </w:tcBorders>
          </w:tcPr>
          <w:p>
            <w:pPr>
              <w:pStyle w:val="TableParagraph"/>
              <w:spacing w:line="245" w:lineRule="exact" w:before="131"/>
              <w:ind w:right="503"/>
              <w:jc w:val="right"/>
              <w:rPr>
                <w:sz w:val="22"/>
              </w:rPr>
            </w:pPr>
            <w:r>
              <w:rPr>
                <w:spacing w:val="-5"/>
                <w:w w:val="105"/>
                <w:sz w:val="22"/>
              </w:rPr>
              <w:t>.01</w:t>
            </w:r>
          </w:p>
        </w:tc>
        <w:tc>
          <w:tcPr>
            <w:tcW w:w="1211" w:type="dxa"/>
            <w:tcBorders>
              <w:bottom w:val="single" w:sz="18" w:space="0" w:color="000000"/>
            </w:tcBorders>
          </w:tcPr>
          <w:p>
            <w:pPr>
              <w:pStyle w:val="TableParagraph"/>
              <w:spacing w:line="245" w:lineRule="exact" w:before="131"/>
              <w:ind w:left="672"/>
              <w:rPr>
                <w:sz w:val="22"/>
              </w:rPr>
            </w:pPr>
            <w:r>
              <w:rPr>
                <w:spacing w:val="-4"/>
                <w:w w:val="105"/>
                <w:sz w:val="22"/>
              </w:rPr>
              <w:t>.931</w:t>
            </w:r>
          </w:p>
        </w:tc>
      </w:tr>
    </w:tbl>
    <w:p>
      <w:pPr>
        <w:pStyle w:val="BodyText"/>
      </w:pPr>
    </w:p>
    <w:p>
      <w:pPr>
        <w:pStyle w:val="BodyText"/>
        <w:spacing w:before="234"/>
      </w:pPr>
    </w:p>
    <w:p>
      <w:pPr>
        <w:pStyle w:val="BodyText"/>
        <w:spacing w:line="477" w:lineRule="auto"/>
        <w:ind w:left="483" w:right="210" w:hanging="1"/>
      </w:pPr>
      <w:r>
        <w:rPr>
          <w:w w:val="105"/>
        </w:rPr>
        <w:t>As in the first model, there was an independent</w:t>
      </w:r>
      <w:r>
        <w:rPr>
          <w:spacing w:val="33"/>
          <w:w w:val="105"/>
        </w:rPr>
        <w:t> </w:t>
      </w:r>
      <w:r>
        <w:rPr>
          <w:w w:val="105"/>
        </w:rPr>
        <w:t>effect of FM status</w:t>
      </w:r>
      <w:r>
        <w:rPr>
          <w:spacing w:val="-9"/>
          <w:w w:val="105"/>
        </w:rPr>
        <w:t> </w:t>
      </w:r>
      <w:r>
        <w:rPr>
          <w:i/>
          <w:w w:val="105"/>
        </w:rPr>
        <w:t>(ft=</w:t>
      </w:r>
      <w:r>
        <w:rPr>
          <w:i/>
          <w:spacing w:val="-6"/>
          <w:w w:val="105"/>
        </w:rPr>
        <w:t> </w:t>
      </w:r>
      <w:r>
        <w:rPr>
          <w:w w:val="105"/>
        </w:rPr>
        <w:t>.68, </w:t>
      </w:r>
      <w:r>
        <w:rPr>
          <w:i/>
          <w:w w:val="105"/>
        </w:rPr>
        <w:t>p </w:t>
      </w:r>
      <w:r>
        <w:rPr>
          <w:w w:val="105"/>
        </w:rPr>
        <w:t>&lt; .00</w:t>
      </w:r>
      <w:r>
        <w:rPr>
          <w:spacing w:val="-28"/>
          <w:w w:val="105"/>
        </w:rPr>
        <w:t> </w:t>
      </w:r>
      <w:r>
        <w:rPr>
          <w:w w:val="105"/>
        </w:rPr>
        <w:t>I), however,</w:t>
      </w:r>
      <w:r>
        <w:rPr>
          <w:spacing w:val="-4"/>
          <w:w w:val="105"/>
        </w:rPr>
        <w:t> </w:t>
      </w:r>
      <w:r>
        <w:rPr>
          <w:w w:val="105"/>
        </w:rPr>
        <w:t>the</w:t>
      </w:r>
      <w:r>
        <w:rPr>
          <w:spacing w:val="-8"/>
          <w:w w:val="105"/>
        </w:rPr>
        <w:t> </w:t>
      </w:r>
      <w:r>
        <w:rPr>
          <w:w w:val="105"/>
        </w:rPr>
        <w:t>association between</w:t>
      </w:r>
      <w:r>
        <w:rPr>
          <w:w w:val="105"/>
        </w:rPr>
        <w:t> passive leisure</w:t>
      </w:r>
      <w:r>
        <w:rPr>
          <w:spacing w:val="-7"/>
          <w:w w:val="105"/>
        </w:rPr>
        <w:t> </w:t>
      </w:r>
      <w:r>
        <w:rPr>
          <w:w w:val="105"/>
        </w:rPr>
        <w:t>activity</w:t>
      </w:r>
      <w:r>
        <w:rPr>
          <w:spacing w:val="-3"/>
          <w:w w:val="105"/>
        </w:rPr>
        <w:t> </w:t>
      </w:r>
      <w:r>
        <w:rPr>
          <w:w w:val="105"/>
        </w:rPr>
        <w:t>and depressive symptoms was not significant </w:t>
      </w:r>
      <w:r>
        <w:rPr>
          <w:i/>
          <w:w w:val="105"/>
        </w:rPr>
        <w:t>(ft= </w:t>
      </w:r>
      <w:r>
        <w:rPr>
          <w:w w:val="105"/>
        </w:rPr>
        <w:t>.01,p </w:t>
      </w:r>
      <w:r>
        <w:rPr>
          <w:w w:val="105"/>
          <w:sz w:val="26"/>
        </w:rPr>
        <w:t>= </w:t>
      </w:r>
      <w:r>
        <w:rPr>
          <w:w w:val="105"/>
        </w:rPr>
        <w:t>.931).</w:t>
      </w:r>
    </w:p>
    <w:p>
      <w:pPr>
        <w:pStyle w:val="BodyText"/>
        <w:spacing w:line="244" w:lineRule="exact"/>
        <w:ind w:left="316"/>
        <w:jc w:val="center"/>
      </w:pPr>
      <w:r>
        <w:rPr>
          <w:w w:val="105"/>
          <w:u w:val="thick"/>
        </w:rPr>
        <w:t>Testing</w:t>
      </w:r>
      <w:r>
        <w:rPr>
          <w:spacing w:val="7"/>
          <w:w w:val="105"/>
          <w:u w:val="thick"/>
        </w:rPr>
        <w:t> </w:t>
      </w:r>
      <w:r>
        <w:rPr>
          <w:w w:val="105"/>
          <w:u w:val="thick"/>
        </w:rPr>
        <w:t>Hypothesis</w:t>
      </w:r>
      <w:r>
        <w:rPr>
          <w:spacing w:val="1"/>
          <w:w w:val="105"/>
          <w:u w:val="thick"/>
        </w:rPr>
        <w:t> </w:t>
      </w:r>
      <w:r>
        <w:rPr>
          <w:w w:val="105"/>
          <w:u w:val="thick"/>
        </w:rPr>
        <w:t>3</w:t>
      </w:r>
      <w:r>
        <w:rPr>
          <w:spacing w:val="-12"/>
          <w:w w:val="105"/>
          <w:u w:val="thick"/>
        </w:rPr>
        <w:t> </w:t>
      </w:r>
      <w:r>
        <w:rPr>
          <w:w w:val="105"/>
          <w:u w:val="thick"/>
        </w:rPr>
        <w:t>(Logistic</w:t>
      </w:r>
      <w:r>
        <w:rPr>
          <w:spacing w:val="15"/>
          <w:w w:val="105"/>
          <w:u w:val="thick"/>
        </w:rPr>
        <w:t> </w:t>
      </w:r>
      <w:r>
        <w:rPr>
          <w:spacing w:val="-2"/>
          <w:w w:val="105"/>
          <w:u w:val="thick"/>
        </w:rPr>
        <w:t>Regression)</w:t>
      </w:r>
    </w:p>
    <w:p>
      <w:pPr>
        <w:pStyle w:val="BodyText"/>
        <w:spacing w:before="17"/>
      </w:pPr>
    </w:p>
    <w:p>
      <w:pPr>
        <w:pStyle w:val="BodyText"/>
        <w:spacing w:line="494" w:lineRule="auto" w:before="1"/>
        <w:ind w:left="482" w:right="193" w:firstLine="693"/>
      </w:pPr>
      <w:r>
        <w:rPr>
          <w:w w:val="105"/>
        </w:rPr>
        <w:t>The third and final hypothesis was that the inability to participate</w:t>
      </w:r>
      <w:r>
        <w:rPr>
          <w:spacing w:val="34"/>
          <w:w w:val="105"/>
        </w:rPr>
        <w:t> </w:t>
      </w:r>
      <w:r>
        <w:rPr>
          <w:w w:val="105"/>
        </w:rPr>
        <w:t>in leisure activities</w:t>
      </w:r>
      <w:r>
        <w:rPr>
          <w:spacing w:val="-7"/>
          <w:w w:val="105"/>
        </w:rPr>
        <w:t> </w:t>
      </w:r>
      <w:r>
        <w:rPr>
          <w:w w:val="105"/>
        </w:rPr>
        <w:t>at Wave</w:t>
      </w:r>
      <w:r>
        <w:rPr>
          <w:spacing w:val="23"/>
          <w:w w:val="105"/>
        </w:rPr>
        <w:t> </w:t>
      </w:r>
      <w:r>
        <w:rPr>
          <w:w w:val="105"/>
        </w:rPr>
        <w:t>I</w:t>
      </w:r>
      <w:r>
        <w:rPr>
          <w:spacing w:val="27"/>
          <w:w w:val="105"/>
        </w:rPr>
        <w:t> </w:t>
      </w:r>
      <w:r>
        <w:rPr>
          <w:w w:val="105"/>
        </w:rPr>
        <w:t>would</w:t>
      </w:r>
      <w:r>
        <w:rPr>
          <w:spacing w:val="20"/>
          <w:w w:val="105"/>
        </w:rPr>
        <w:t> </w:t>
      </w:r>
      <w:r>
        <w:rPr>
          <w:w w:val="105"/>
        </w:rPr>
        <w:t>predict</w:t>
      </w:r>
      <w:r>
        <w:rPr>
          <w:w w:val="105"/>
        </w:rPr>
        <w:t> higher depressive symptoms</w:t>
      </w:r>
      <w:r>
        <w:rPr>
          <w:spacing w:val="-1"/>
          <w:w w:val="105"/>
        </w:rPr>
        <w:t> </w:t>
      </w:r>
      <w:r>
        <w:rPr>
          <w:w w:val="105"/>
        </w:rPr>
        <w:t>at Wave</w:t>
      </w:r>
      <w:r>
        <w:rPr>
          <w:spacing w:val="-5"/>
          <w:w w:val="105"/>
        </w:rPr>
        <w:t> </w:t>
      </w:r>
      <w:r>
        <w:rPr>
          <w:w w:val="105"/>
        </w:rPr>
        <w:t>2</w:t>
      </w:r>
      <w:r>
        <w:rPr>
          <w:spacing w:val="-12"/>
          <w:w w:val="105"/>
        </w:rPr>
        <w:t> </w:t>
      </w:r>
      <w:r>
        <w:rPr>
          <w:w w:val="105"/>
        </w:rPr>
        <w:t>(2</w:t>
      </w:r>
      <w:r>
        <w:rPr>
          <w:spacing w:val="-5"/>
          <w:w w:val="105"/>
        </w:rPr>
        <w:t> </w:t>
      </w:r>
      <w:r>
        <w:rPr>
          <w:w w:val="105"/>
        </w:rPr>
        <w:t>years later). Logistic regression</w:t>
      </w:r>
      <w:r>
        <w:rPr>
          <w:w w:val="105"/>
        </w:rPr>
        <w:t> analyses</w:t>
      </w:r>
      <w:r>
        <w:rPr>
          <w:spacing w:val="-9"/>
          <w:w w:val="105"/>
        </w:rPr>
        <w:t> </w:t>
      </w:r>
      <w:r>
        <w:rPr>
          <w:w w:val="105"/>
        </w:rPr>
        <w:t>displayed</w:t>
      </w:r>
      <w:r>
        <w:rPr>
          <w:w w:val="105"/>
        </w:rPr>
        <w:t> no</w:t>
      </w:r>
      <w:r>
        <w:rPr>
          <w:spacing w:val="-14"/>
          <w:w w:val="105"/>
        </w:rPr>
        <w:t> </w:t>
      </w:r>
      <w:r>
        <w:rPr>
          <w:w w:val="105"/>
        </w:rPr>
        <w:t>significant association</w:t>
      </w:r>
      <w:r>
        <w:rPr>
          <w:spacing w:val="12"/>
          <w:w w:val="105"/>
        </w:rPr>
        <w:t> </w:t>
      </w:r>
      <w:r>
        <w:rPr>
          <w:w w:val="105"/>
        </w:rPr>
        <w:t>between</w:t>
      </w:r>
      <w:r>
        <w:rPr>
          <w:spacing w:val="12"/>
          <w:w w:val="105"/>
        </w:rPr>
        <w:t> </w:t>
      </w:r>
      <w:r>
        <w:rPr>
          <w:w w:val="105"/>
        </w:rPr>
        <w:t>participation</w:t>
      </w:r>
      <w:r>
        <w:rPr>
          <w:spacing w:val="12"/>
          <w:w w:val="105"/>
        </w:rPr>
        <w:t> </w:t>
      </w:r>
      <w:r>
        <w:rPr>
          <w:w w:val="105"/>
        </w:rPr>
        <w:t>in leisure activities in Wave 1</w:t>
      </w:r>
      <w:r>
        <w:rPr>
          <w:spacing w:val="-1"/>
          <w:w w:val="105"/>
        </w:rPr>
        <w:t> </w:t>
      </w:r>
      <w:r>
        <w:rPr>
          <w:w w:val="105"/>
        </w:rPr>
        <w:t>(overall,</w:t>
      </w:r>
      <w:r>
        <w:rPr>
          <w:spacing w:val="-1"/>
          <w:w w:val="105"/>
        </w:rPr>
        <w:t> </w:t>
      </w:r>
      <w:r>
        <w:rPr>
          <w:w w:val="105"/>
        </w:rPr>
        <w:t>active,</w:t>
      </w:r>
      <w:r>
        <w:rPr>
          <w:spacing w:val="-1"/>
          <w:w w:val="105"/>
        </w:rPr>
        <w:t> </w:t>
      </w:r>
      <w:r>
        <w:rPr>
          <w:w w:val="105"/>
        </w:rPr>
        <w:t>or passive)</w:t>
      </w:r>
      <w:r>
        <w:rPr>
          <w:spacing w:val="-1"/>
          <w:w w:val="105"/>
        </w:rPr>
        <w:t> </w:t>
      </w:r>
      <w:r>
        <w:rPr>
          <w:w w:val="105"/>
        </w:rPr>
        <w:t>and later</w:t>
      </w:r>
      <w:r>
        <w:rPr>
          <w:spacing w:val="-4"/>
          <w:w w:val="105"/>
        </w:rPr>
        <w:t> </w:t>
      </w:r>
      <w:r>
        <w:rPr>
          <w:w w:val="105"/>
        </w:rPr>
        <w:t>depressive symptoms in Wave 2</w:t>
      </w:r>
      <w:r>
        <w:rPr>
          <w:spacing w:val="-3"/>
          <w:w w:val="105"/>
        </w:rPr>
        <w:t> </w:t>
      </w:r>
      <w:r>
        <w:rPr>
          <w:w w:val="105"/>
        </w:rPr>
        <w:t>(increase or decrease/stay</w:t>
      </w:r>
      <w:r>
        <w:rPr>
          <w:w w:val="105"/>
        </w:rPr>
        <w:t> the same). Findings from these analyses are presented in Table 5.</w:t>
      </w:r>
    </w:p>
    <w:p>
      <w:pPr>
        <w:spacing w:after="0" w:line="494" w:lineRule="auto"/>
        <w:sectPr>
          <w:headerReference w:type="default" r:id="rId36"/>
          <w:pgSz w:w="12450" w:h="15740"/>
          <w:pgMar w:header="1024" w:footer="0" w:top="1600" w:bottom="280" w:left="1760" w:right="1680"/>
        </w:sectPr>
      </w:pPr>
    </w:p>
    <w:p>
      <w:pPr>
        <w:spacing w:line="230" w:lineRule="auto" w:before="89"/>
        <w:ind w:left="499" w:right="190" w:hanging="8"/>
        <w:jc w:val="left"/>
        <w:rPr>
          <w:sz w:val="23"/>
        </w:rPr>
      </w:pPr>
      <w:r>
        <w:rPr>
          <w:sz w:val="23"/>
        </w:rPr>
        <w:t>Table</w:t>
      </w:r>
      <w:r>
        <w:rPr>
          <w:spacing w:val="-6"/>
          <w:sz w:val="23"/>
        </w:rPr>
        <w:t> </w:t>
      </w:r>
      <w:r>
        <w:rPr>
          <w:sz w:val="23"/>
        </w:rPr>
        <w:t>5.</w:t>
      </w:r>
      <w:r>
        <w:rPr>
          <w:spacing w:val="-2"/>
          <w:sz w:val="23"/>
        </w:rPr>
        <w:t> </w:t>
      </w:r>
      <w:r>
        <w:rPr>
          <w:sz w:val="23"/>
        </w:rPr>
        <w:t>Logistic Regressions for</w:t>
      </w:r>
      <w:r>
        <w:rPr>
          <w:spacing w:val="-2"/>
          <w:sz w:val="23"/>
        </w:rPr>
        <w:t> </w:t>
      </w:r>
      <w:r>
        <w:rPr>
          <w:sz w:val="23"/>
        </w:rPr>
        <w:t>Overall, Active, and Passive Leisure Predicting Depressiona </w:t>
      </w:r>
      <w:r>
        <w:rPr>
          <w:rFonts w:ascii="Arial"/>
          <w:i/>
          <w:sz w:val="21"/>
        </w:rPr>
        <w:t>(N</w:t>
      </w:r>
      <w:r>
        <w:rPr>
          <w:rFonts w:ascii="Arial"/>
          <w:i/>
          <w:spacing w:val="40"/>
          <w:sz w:val="21"/>
        </w:rPr>
        <w:t> </w:t>
      </w:r>
      <w:r>
        <w:rPr>
          <w:sz w:val="23"/>
        </w:rPr>
        <w:t>= 78)</w:t>
      </w:r>
    </w:p>
    <w:p>
      <w:pPr>
        <w:pStyle w:val="BodyText"/>
        <w:spacing w:before="54"/>
        <w:rPr>
          <w:sz w:val="20"/>
        </w:rPr>
      </w:pPr>
    </w:p>
    <w:tbl>
      <w:tblPr>
        <w:tblW w:w="0" w:type="auto"/>
        <w:jc w:val="left"/>
        <w:tblInd w:w="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8"/>
        <w:gridCol w:w="1409"/>
        <w:gridCol w:w="1353"/>
        <w:gridCol w:w="1510"/>
        <w:gridCol w:w="1050"/>
      </w:tblGrid>
      <w:tr>
        <w:trPr>
          <w:trHeight w:val="291" w:hRule="atLeast"/>
        </w:trPr>
        <w:tc>
          <w:tcPr>
            <w:tcW w:w="5890" w:type="dxa"/>
            <w:gridSpan w:val="3"/>
            <w:tcBorders>
              <w:top w:val="single" w:sz="12" w:space="0" w:color="000000"/>
              <w:bottom w:val="single" w:sz="12" w:space="0" w:color="000000"/>
            </w:tcBorders>
          </w:tcPr>
          <w:p>
            <w:pPr>
              <w:pStyle w:val="TableParagraph"/>
              <w:tabs>
                <w:tab w:pos="4933" w:val="left" w:leader="none"/>
              </w:tabs>
              <w:spacing w:line="252" w:lineRule="exact" w:before="20"/>
              <w:ind w:left="3524"/>
              <w:rPr>
                <w:sz w:val="23"/>
              </w:rPr>
            </w:pPr>
            <w:r>
              <w:rPr>
                <w:spacing w:val="-10"/>
                <w:sz w:val="23"/>
              </w:rPr>
              <w:t>B</w:t>
            </w:r>
            <w:r>
              <w:rPr>
                <w:sz w:val="23"/>
              </w:rPr>
              <w:tab/>
            </w:r>
            <w:r>
              <w:rPr>
                <w:spacing w:val="-4"/>
                <w:sz w:val="23"/>
              </w:rPr>
              <w:t>Wald</w:t>
            </w:r>
          </w:p>
        </w:tc>
        <w:tc>
          <w:tcPr>
            <w:tcW w:w="1510" w:type="dxa"/>
            <w:tcBorders>
              <w:top w:val="single" w:sz="12" w:space="0" w:color="000000"/>
              <w:bottom w:val="single" w:sz="12" w:space="0" w:color="000000"/>
            </w:tcBorders>
          </w:tcPr>
          <w:p>
            <w:pPr>
              <w:pStyle w:val="TableParagraph"/>
              <w:spacing w:line="257" w:lineRule="exact" w:before="15"/>
              <w:ind w:left="441"/>
              <w:rPr>
                <w:sz w:val="23"/>
              </w:rPr>
            </w:pPr>
            <w:r>
              <w:rPr>
                <w:sz w:val="23"/>
              </w:rPr>
              <w:t>Exp</w:t>
            </w:r>
            <w:r>
              <w:rPr>
                <w:spacing w:val="-6"/>
                <w:sz w:val="23"/>
              </w:rPr>
              <w:t> </w:t>
            </w:r>
            <w:r>
              <w:rPr>
                <w:spacing w:val="-5"/>
                <w:sz w:val="23"/>
              </w:rPr>
              <w:t>(B)</w:t>
            </w:r>
          </w:p>
        </w:tc>
        <w:tc>
          <w:tcPr>
            <w:tcW w:w="1050" w:type="dxa"/>
            <w:tcBorders>
              <w:top w:val="single" w:sz="12" w:space="0" w:color="000000"/>
              <w:bottom w:val="single" w:sz="12" w:space="0" w:color="000000"/>
            </w:tcBorders>
          </w:tcPr>
          <w:p>
            <w:pPr>
              <w:pStyle w:val="TableParagraph"/>
              <w:spacing w:line="247" w:lineRule="exact" w:before="25"/>
              <w:ind w:left="335"/>
              <w:rPr>
                <w:sz w:val="23"/>
              </w:rPr>
            </w:pPr>
            <w:r>
              <w:rPr>
                <w:spacing w:val="-4"/>
                <w:sz w:val="23"/>
              </w:rPr>
              <w:t>Sig.</w:t>
            </w:r>
          </w:p>
        </w:tc>
      </w:tr>
      <w:tr>
        <w:trPr>
          <w:trHeight w:val="537" w:hRule="atLeast"/>
        </w:trPr>
        <w:tc>
          <w:tcPr>
            <w:tcW w:w="3128" w:type="dxa"/>
            <w:tcBorders>
              <w:bottom w:val="single" w:sz="12" w:space="0" w:color="000000"/>
            </w:tcBorders>
          </w:tcPr>
          <w:p>
            <w:pPr>
              <w:pStyle w:val="TableParagraph"/>
              <w:rPr>
                <w:sz w:val="23"/>
              </w:rPr>
            </w:pPr>
          </w:p>
          <w:p>
            <w:pPr>
              <w:pStyle w:val="TableParagraph"/>
              <w:spacing w:line="252" w:lineRule="exact"/>
              <w:ind w:left="20"/>
              <w:rPr>
                <w:sz w:val="23"/>
              </w:rPr>
            </w:pPr>
            <w:r>
              <w:rPr>
                <w:sz w:val="23"/>
              </w:rPr>
              <w:t>Overall</w:t>
            </w:r>
            <w:r>
              <w:rPr>
                <w:spacing w:val="14"/>
                <w:sz w:val="23"/>
              </w:rPr>
              <w:t> </w:t>
            </w:r>
            <w:r>
              <w:rPr>
                <w:spacing w:val="-2"/>
                <w:sz w:val="23"/>
              </w:rPr>
              <w:t>Leisure</w:t>
            </w:r>
          </w:p>
        </w:tc>
        <w:tc>
          <w:tcPr>
            <w:tcW w:w="1409" w:type="dxa"/>
            <w:tcBorders>
              <w:bottom w:val="single" w:sz="12" w:space="0" w:color="000000"/>
            </w:tcBorders>
          </w:tcPr>
          <w:p>
            <w:pPr>
              <w:pStyle w:val="TableParagraph"/>
              <w:rPr>
                <w:sz w:val="22"/>
              </w:rPr>
            </w:pPr>
          </w:p>
        </w:tc>
        <w:tc>
          <w:tcPr>
            <w:tcW w:w="1353" w:type="dxa"/>
            <w:tcBorders>
              <w:bottom w:val="single" w:sz="12" w:space="0" w:color="000000"/>
            </w:tcBorders>
          </w:tcPr>
          <w:p>
            <w:pPr>
              <w:pStyle w:val="TableParagraph"/>
              <w:rPr>
                <w:sz w:val="22"/>
              </w:rPr>
            </w:pPr>
          </w:p>
        </w:tc>
        <w:tc>
          <w:tcPr>
            <w:tcW w:w="1510" w:type="dxa"/>
            <w:tcBorders>
              <w:bottom w:val="single" w:sz="12" w:space="0" w:color="000000"/>
            </w:tcBorders>
          </w:tcPr>
          <w:p>
            <w:pPr>
              <w:pStyle w:val="TableParagraph"/>
              <w:rPr>
                <w:sz w:val="22"/>
              </w:rPr>
            </w:pPr>
          </w:p>
        </w:tc>
        <w:tc>
          <w:tcPr>
            <w:tcW w:w="1050" w:type="dxa"/>
            <w:tcBorders>
              <w:bottom w:val="single" w:sz="12" w:space="0" w:color="000000"/>
            </w:tcBorders>
          </w:tcPr>
          <w:p>
            <w:pPr>
              <w:pStyle w:val="TableParagraph"/>
              <w:rPr>
                <w:sz w:val="22"/>
              </w:rPr>
            </w:pPr>
          </w:p>
        </w:tc>
      </w:tr>
      <w:tr>
        <w:trPr>
          <w:trHeight w:val="536" w:hRule="atLeast"/>
        </w:trPr>
        <w:tc>
          <w:tcPr>
            <w:tcW w:w="3128" w:type="dxa"/>
            <w:tcBorders>
              <w:top w:val="single" w:sz="12" w:space="0" w:color="000000"/>
            </w:tcBorders>
          </w:tcPr>
          <w:p>
            <w:pPr>
              <w:pStyle w:val="TableParagraph"/>
              <w:rPr>
                <w:sz w:val="23"/>
              </w:rPr>
            </w:pPr>
          </w:p>
          <w:p>
            <w:pPr>
              <w:pStyle w:val="TableParagraph"/>
              <w:spacing w:line="252" w:lineRule="exact"/>
              <w:ind w:left="20"/>
              <w:rPr>
                <w:sz w:val="23"/>
              </w:rPr>
            </w:pPr>
            <w:r>
              <w:rPr>
                <w:spacing w:val="-2"/>
                <w:sz w:val="23"/>
              </w:rPr>
              <w:t>Constant</w:t>
            </w:r>
          </w:p>
        </w:tc>
        <w:tc>
          <w:tcPr>
            <w:tcW w:w="1409" w:type="dxa"/>
            <w:tcBorders>
              <w:top w:val="single" w:sz="12" w:space="0" w:color="000000"/>
            </w:tcBorders>
          </w:tcPr>
          <w:p>
            <w:pPr>
              <w:pStyle w:val="TableParagraph"/>
              <w:rPr>
                <w:sz w:val="23"/>
              </w:rPr>
            </w:pPr>
          </w:p>
          <w:p>
            <w:pPr>
              <w:pStyle w:val="TableParagraph"/>
              <w:spacing w:line="252" w:lineRule="exact"/>
              <w:ind w:left="130" w:right="163"/>
              <w:jc w:val="center"/>
              <w:rPr>
                <w:sz w:val="23"/>
              </w:rPr>
            </w:pPr>
            <w:r>
              <w:rPr>
                <w:sz w:val="23"/>
              </w:rPr>
              <w:t>-</w:t>
            </w:r>
            <w:r>
              <w:rPr>
                <w:spacing w:val="-2"/>
                <w:sz w:val="23"/>
              </w:rPr>
              <w:t>4.064</w:t>
            </w:r>
          </w:p>
        </w:tc>
        <w:tc>
          <w:tcPr>
            <w:tcW w:w="1353" w:type="dxa"/>
            <w:tcBorders>
              <w:top w:val="single" w:sz="12" w:space="0" w:color="000000"/>
            </w:tcBorders>
          </w:tcPr>
          <w:p>
            <w:pPr>
              <w:pStyle w:val="TableParagraph"/>
              <w:rPr>
                <w:sz w:val="23"/>
              </w:rPr>
            </w:pPr>
          </w:p>
          <w:p>
            <w:pPr>
              <w:pStyle w:val="TableParagraph"/>
              <w:spacing w:line="252" w:lineRule="exact"/>
              <w:ind w:left="13" w:right="68"/>
              <w:jc w:val="center"/>
              <w:rPr>
                <w:sz w:val="23"/>
              </w:rPr>
            </w:pPr>
            <w:r>
              <w:rPr>
                <w:spacing w:val="-2"/>
                <w:sz w:val="23"/>
              </w:rPr>
              <w:t>3.970</w:t>
            </w:r>
          </w:p>
        </w:tc>
        <w:tc>
          <w:tcPr>
            <w:tcW w:w="1510" w:type="dxa"/>
            <w:tcBorders>
              <w:top w:val="single" w:sz="12" w:space="0" w:color="000000"/>
            </w:tcBorders>
          </w:tcPr>
          <w:p>
            <w:pPr>
              <w:pStyle w:val="TableParagraph"/>
              <w:rPr>
                <w:sz w:val="23"/>
              </w:rPr>
            </w:pPr>
          </w:p>
          <w:p>
            <w:pPr>
              <w:pStyle w:val="TableParagraph"/>
              <w:spacing w:line="252" w:lineRule="exact"/>
              <w:ind w:left="437"/>
              <w:rPr>
                <w:sz w:val="23"/>
              </w:rPr>
            </w:pPr>
            <w:r>
              <w:rPr>
                <w:spacing w:val="-2"/>
                <w:sz w:val="23"/>
              </w:rPr>
              <w:t>0.017</w:t>
            </w:r>
          </w:p>
        </w:tc>
        <w:tc>
          <w:tcPr>
            <w:tcW w:w="1050" w:type="dxa"/>
            <w:tcBorders>
              <w:top w:val="single" w:sz="12" w:space="0" w:color="000000"/>
            </w:tcBorders>
          </w:tcPr>
          <w:p>
            <w:pPr>
              <w:pStyle w:val="TableParagraph"/>
              <w:spacing w:before="5"/>
              <w:rPr>
                <w:sz w:val="23"/>
              </w:rPr>
            </w:pPr>
          </w:p>
          <w:p>
            <w:pPr>
              <w:pStyle w:val="TableParagraph"/>
              <w:spacing w:line="247" w:lineRule="exact"/>
              <w:ind w:left="336"/>
              <w:rPr>
                <w:sz w:val="23"/>
              </w:rPr>
            </w:pPr>
            <w:r>
              <w:rPr>
                <w:spacing w:val="-2"/>
                <w:sz w:val="23"/>
              </w:rPr>
              <w:t>0.046</w:t>
            </w:r>
          </w:p>
        </w:tc>
      </w:tr>
      <w:tr>
        <w:trPr>
          <w:trHeight w:val="261" w:hRule="atLeast"/>
        </w:trPr>
        <w:tc>
          <w:tcPr>
            <w:tcW w:w="3128" w:type="dxa"/>
          </w:tcPr>
          <w:p>
            <w:pPr>
              <w:pStyle w:val="TableParagraph"/>
              <w:spacing w:line="242" w:lineRule="exact"/>
              <w:ind w:left="34"/>
              <w:rPr>
                <w:sz w:val="23"/>
              </w:rPr>
            </w:pPr>
            <w:r>
              <w:rPr>
                <w:sz w:val="23"/>
              </w:rPr>
              <w:t>FM</w:t>
            </w:r>
            <w:r>
              <w:rPr>
                <w:spacing w:val="-6"/>
                <w:sz w:val="23"/>
              </w:rPr>
              <w:t> </w:t>
            </w:r>
            <w:r>
              <w:rPr>
                <w:spacing w:val="-2"/>
                <w:sz w:val="23"/>
              </w:rPr>
              <w:t>status</w:t>
            </w:r>
          </w:p>
        </w:tc>
        <w:tc>
          <w:tcPr>
            <w:tcW w:w="1409" w:type="dxa"/>
          </w:tcPr>
          <w:p>
            <w:pPr>
              <w:pStyle w:val="TableParagraph"/>
              <w:spacing w:line="242" w:lineRule="exact"/>
              <w:ind w:left="157" w:right="33"/>
              <w:jc w:val="center"/>
              <w:rPr>
                <w:sz w:val="23"/>
              </w:rPr>
            </w:pPr>
            <w:r>
              <w:rPr>
                <w:spacing w:val="-2"/>
                <w:sz w:val="23"/>
              </w:rPr>
              <w:t>0.145</w:t>
            </w:r>
          </w:p>
        </w:tc>
        <w:tc>
          <w:tcPr>
            <w:tcW w:w="1353" w:type="dxa"/>
          </w:tcPr>
          <w:p>
            <w:pPr>
              <w:pStyle w:val="TableParagraph"/>
              <w:spacing w:line="242" w:lineRule="exact"/>
              <w:ind w:left="20" w:right="68"/>
              <w:jc w:val="center"/>
              <w:rPr>
                <w:sz w:val="23"/>
              </w:rPr>
            </w:pPr>
            <w:r>
              <w:rPr>
                <w:spacing w:val="-2"/>
                <w:sz w:val="23"/>
              </w:rPr>
              <w:t>0.078</w:t>
            </w:r>
          </w:p>
        </w:tc>
        <w:tc>
          <w:tcPr>
            <w:tcW w:w="1510" w:type="dxa"/>
          </w:tcPr>
          <w:p>
            <w:pPr>
              <w:pStyle w:val="TableParagraph"/>
              <w:spacing w:line="242" w:lineRule="exact"/>
              <w:ind w:left="443"/>
              <w:rPr>
                <w:sz w:val="23"/>
              </w:rPr>
            </w:pPr>
            <w:r>
              <w:rPr>
                <w:spacing w:val="-2"/>
                <w:sz w:val="23"/>
              </w:rPr>
              <w:t>1.156</w:t>
            </w:r>
          </w:p>
        </w:tc>
        <w:tc>
          <w:tcPr>
            <w:tcW w:w="1050" w:type="dxa"/>
          </w:tcPr>
          <w:p>
            <w:pPr>
              <w:pStyle w:val="TableParagraph"/>
              <w:spacing w:line="242" w:lineRule="exact"/>
              <w:ind w:left="336"/>
              <w:rPr>
                <w:sz w:val="23"/>
              </w:rPr>
            </w:pPr>
            <w:r>
              <w:rPr>
                <w:spacing w:val="-2"/>
                <w:sz w:val="23"/>
              </w:rPr>
              <w:t>0.780</w:t>
            </w:r>
          </w:p>
        </w:tc>
      </w:tr>
      <w:tr>
        <w:trPr>
          <w:trHeight w:val="259" w:hRule="atLeast"/>
        </w:trPr>
        <w:tc>
          <w:tcPr>
            <w:tcW w:w="3128" w:type="dxa"/>
          </w:tcPr>
          <w:p>
            <w:pPr>
              <w:pStyle w:val="TableParagraph"/>
              <w:spacing w:line="240" w:lineRule="exact"/>
              <w:ind w:left="20"/>
              <w:rPr>
                <w:sz w:val="23"/>
              </w:rPr>
            </w:pPr>
            <w:r>
              <w:rPr>
                <w:sz w:val="23"/>
              </w:rPr>
              <w:t>Overall</w:t>
            </w:r>
            <w:r>
              <w:rPr>
                <w:spacing w:val="10"/>
                <w:sz w:val="23"/>
              </w:rPr>
              <w:t> </w:t>
            </w:r>
            <w:r>
              <w:rPr>
                <w:sz w:val="23"/>
              </w:rPr>
              <w:t>leisure</w:t>
            </w:r>
            <w:r>
              <w:rPr>
                <w:spacing w:val="4"/>
                <w:sz w:val="23"/>
              </w:rPr>
              <w:t> </w:t>
            </w:r>
            <w:r>
              <w:rPr>
                <w:sz w:val="23"/>
              </w:rPr>
              <w:t>in</w:t>
            </w:r>
            <w:r>
              <w:rPr>
                <w:spacing w:val="5"/>
                <w:sz w:val="23"/>
              </w:rPr>
              <w:t> </w:t>
            </w:r>
            <w:r>
              <w:rPr>
                <w:sz w:val="23"/>
              </w:rPr>
              <w:t>Wave</w:t>
            </w:r>
            <w:r>
              <w:rPr>
                <w:spacing w:val="4"/>
                <w:sz w:val="23"/>
              </w:rPr>
              <w:t> </w:t>
            </w:r>
            <w:r>
              <w:rPr>
                <w:spacing w:val="-10"/>
                <w:sz w:val="23"/>
              </w:rPr>
              <w:t>1</w:t>
            </w:r>
          </w:p>
        </w:tc>
        <w:tc>
          <w:tcPr>
            <w:tcW w:w="1409" w:type="dxa"/>
          </w:tcPr>
          <w:p>
            <w:pPr>
              <w:pStyle w:val="TableParagraph"/>
              <w:spacing w:line="240" w:lineRule="exact"/>
              <w:ind w:left="163" w:right="33"/>
              <w:jc w:val="center"/>
              <w:rPr>
                <w:sz w:val="23"/>
              </w:rPr>
            </w:pPr>
            <w:r>
              <w:rPr>
                <w:spacing w:val="-2"/>
                <w:sz w:val="23"/>
              </w:rPr>
              <w:t>1.484</w:t>
            </w:r>
          </w:p>
        </w:tc>
        <w:tc>
          <w:tcPr>
            <w:tcW w:w="1353" w:type="dxa"/>
          </w:tcPr>
          <w:p>
            <w:pPr>
              <w:pStyle w:val="TableParagraph"/>
              <w:spacing w:line="240" w:lineRule="exact"/>
              <w:ind w:left="18" w:right="68"/>
              <w:jc w:val="center"/>
              <w:rPr>
                <w:sz w:val="23"/>
              </w:rPr>
            </w:pPr>
            <w:r>
              <w:rPr>
                <w:spacing w:val="-2"/>
                <w:sz w:val="23"/>
              </w:rPr>
              <w:t>3.103</w:t>
            </w:r>
          </w:p>
        </w:tc>
        <w:tc>
          <w:tcPr>
            <w:tcW w:w="1510" w:type="dxa"/>
          </w:tcPr>
          <w:p>
            <w:pPr>
              <w:pStyle w:val="TableParagraph"/>
              <w:spacing w:line="240" w:lineRule="exact"/>
              <w:ind w:left="437"/>
              <w:rPr>
                <w:sz w:val="23"/>
              </w:rPr>
            </w:pPr>
            <w:r>
              <w:rPr>
                <w:spacing w:val="-2"/>
                <w:sz w:val="23"/>
              </w:rPr>
              <w:t>4.413</w:t>
            </w:r>
          </w:p>
        </w:tc>
        <w:tc>
          <w:tcPr>
            <w:tcW w:w="1050" w:type="dxa"/>
          </w:tcPr>
          <w:p>
            <w:pPr>
              <w:pStyle w:val="TableParagraph"/>
              <w:spacing w:line="240" w:lineRule="exact"/>
              <w:ind w:left="336"/>
              <w:rPr>
                <w:sz w:val="23"/>
              </w:rPr>
            </w:pPr>
            <w:r>
              <w:rPr>
                <w:spacing w:val="-2"/>
                <w:sz w:val="23"/>
              </w:rPr>
              <w:t>0.078</w:t>
            </w:r>
          </w:p>
        </w:tc>
      </w:tr>
      <w:tr>
        <w:trPr>
          <w:trHeight w:val="266" w:hRule="atLeast"/>
        </w:trPr>
        <w:tc>
          <w:tcPr>
            <w:tcW w:w="3128" w:type="dxa"/>
            <w:tcBorders>
              <w:bottom w:val="single" w:sz="12" w:space="0" w:color="000000"/>
            </w:tcBorders>
          </w:tcPr>
          <w:p>
            <w:pPr>
              <w:pStyle w:val="TableParagraph"/>
              <w:spacing w:line="247" w:lineRule="exact"/>
              <w:ind w:left="15"/>
              <w:rPr>
                <w:sz w:val="23"/>
              </w:rPr>
            </w:pPr>
            <w:r>
              <w:rPr>
                <w:sz w:val="23"/>
              </w:rPr>
              <w:t>Overall</w:t>
            </w:r>
            <w:r>
              <w:rPr>
                <w:spacing w:val="17"/>
                <w:sz w:val="23"/>
              </w:rPr>
              <w:t> </w:t>
            </w:r>
            <w:r>
              <w:rPr>
                <w:sz w:val="23"/>
              </w:rPr>
              <w:t>leisure</w:t>
            </w:r>
            <w:r>
              <w:rPr>
                <w:spacing w:val="-2"/>
                <w:sz w:val="23"/>
              </w:rPr>
              <w:t> </w:t>
            </w:r>
            <w:r>
              <w:rPr>
                <w:sz w:val="23"/>
              </w:rPr>
              <w:t>change</w:t>
            </w:r>
            <w:r>
              <w:rPr>
                <w:spacing w:val="-1"/>
                <w:sz w:val="23"/>
              </w:rPr>
              <w:t> </w:t>
            </w:r>
            <w:r>
              <w:rPr>
                <w:spacing w:val="-2"/>
                <w:sz w:val="23"/>
              </w:rPr>
              <w:t>scoreb</w:t>
            </w:r>
          </w:p>
        </w:tc>
        <w:tc>
          <w:tcPr>
            <w:tcW w:w="1409" w:type="dxa"/>
            <w:tcBorders>
              <w:bottom w:val="single" w:sz="12" w:space="0" w:color="000000"/>
            </w:tcBorders>
          </w:tcPr>
          <w:p>
            <w:pPr>
              <w:pStyle w:val="TableParagraph"/>
              <w:spacing w:line="247" w:lineRule="exact"/>
              <w:ind w:left="148" w:right="33"/>
              <w:jc w:val="center"/>
              <w:rPr>
                <w:sz w:val="23"/>
              </w:rPr>
            </w:pPr>
            <w:r>
              <w:rPr>
                <w:spacing w:val="-2"/>
                <w:sz w:val="23"/>
              </w:rPr>
              <w:t>0.335</w:t>
            </w:r>
          </w:p>
        </w:tc>
        <w:tc>
          <w:tcPr>
            <w:tcW w:w="1353" w:type="dxa"/>
            <w:tcBorders>
              <w:bottom w:val="single" w:sz="12" w:space="0" w:color="000000"/>
            </w:tcBorders>
          </w:tcPr>
          <w:p>
            <w:pPr>
              <w:pStyle w:val="TableParagraph"/>
              <w:spacing w:line="247" w:lineRule="exact"/>
              <w:ind w:right="68"/>
              <w:jc w:val="center"/>
              <w:rPr>
                <w:sz w:val="23"/>
              </w:rPr>
            </w:pPr>
            <w:r>
              <w:rPr>
                <w:spacing w:val="-2"/>
                <w:sz w:val="23"/>
              </w:rPr>
              <w:t>0.125</w:t>
            </w:r>
          </w:p>
        </w:tc>
        <w:tc>
          <w:tcPr>
            <w:tcW w:w="1510" w:type="dxa"/>
            <w:tcBorders>
              <w:bottom w:val="single" w:sz="12" w:space="0" w:color="000000"/>
            </w:tcBorders>
          </w:tcPr>
          <w:p>
            <w:pPr>
              <w:pStyle w:val="TableParagraph"/>
              <w:spacing w:line="247" w:lineRule="exact"/>
              <w:ind w:left="438"/>
              <w:rPr>
                <w:sz w:val="23"/>
              </w:rPr>
            </w:pPr>
            <w:r>
              <w:rPr>
                <w:spacing w:val="-2"/>
                <w:sz w:val="23"/>
              </w:rPr>
              <w:t>1.398</w:t>
            </w:r>
          </w:p>
        </w:tc>
        <w:tc>
          <w:tcPr>
            <w:tcW w:w="1050" w:type="dxa"/>
            <w:tcBorders>
              <w:bottom w:val="single" w:sz="12" w:space="0" w:color="000000"/>
            </w:tcBorders>
          </w:tcPr>
          <w:p>
            <w:pPr>
              <w:pStyle w:val="TableParagraph"/>
              <w:spacing w:line="247" w:lineRule="exact"/>
              <w:ind w:left="331"/>
              <w:rPr>
                <w:sz w:val="23"/>
              </w:rPr>
            </w:pPr>
            <w:r>
              <w:rPr>
                <w:spacing w:val="-2"/>
                <w:sz w:val="23"/>
              </w:rPr>
              <w:t>0.724</w:t>
            </w:r>
          </w:p>
        </w:tc>
      </w:tr>
      <w:tr>
        <w:trPr>
          <w:trHeight w:val="546" w:hRule="atLeast"/>
        </w:trPr>
        <w:tc>
          <w:tcPr>
            <w:tcW w:w="3128" w:type="dxa"/>
            <w:tcBorders>
              <w:top w:val="single" w:sz="12" w:space="0" w:color="000000"/>
              <w:bottom w:val="single" w:sz="12" w:space="0" w:color="000000"/>
            </w:tcBorders>
          </w:tcPr>
          <w:p>
            <w:pPr>
              <w:pStyle w:val="TableParagraph"/>
              <w:spacing w:before="5"/>
              <w:rPr>
                <w:sz w:val="23"/>
              </w:rPr>
            </w:pPr>
          </w:p>
          <w:p>
            <w:pPr>
              <w:pStyle w:val="TableParagraph"/>
              <w:spacing w:line="257" w:lineRule="exact"/>
              <w:ind w:left="27"/>
              <w:rPr>
                <w:sz w:val="23"/>
              </w:rPr>
            </w:pPr>
            <w:r>
              <w:rPr>
                <w:sz w:val="23"/>
              </w:rPr>
              <w:t>Active</w:t>
            </w:r>
            <w:r>
              <w:rPr>
                <w:spacing w:val="8"/>
                <w:sz w:val="23"/>
              </w:rPr>
              <w:t> </w:t>
            </w:r>
            <w:r>
              <w:rPr>
                <w:spacing w:val="-2"/>
                <w:sz w:val="23"/>
              </w:rPr>
              <w:t>Leisure</w:t>
            </w:r>
          </w:p>
        </w:tc>
        <w:tc>
          <w:tcPr>
            <w:tcW w:w="1409" w:type="dxa"/>
            <w:tcBorders>
              <w:top w:val="single" w:sz="12" w:space="0" w:color="000000"/>
              <w:bottom w:val="single" w:sz="12" w:space="0" w:color="000000"/>
            </w:tcBorders>
          </w:tcPr>
          <w:p>
            <w:pPr>
              <w:pStyle w:val="TableParagraph"/>
              <w:rPr>
                <w:sz w:val="22"/>
              </w:rPr>
            </w:pPr>
          </w:p>
        </w:tc>
        <w:tc>
          <w:tcPr>
            <w:tcW w:w="1353" w:type="dxa"/>
            <w:tcBorders>
              <w:top w:val="single" w:sz="12" w:space="0" w:color="000000"/>
              <w:bottom w:val="single" w:sz="12" w:space="0" w:color="000000"/>
            </w:tcBorders>
          </w:tcPr>
          <w:p>
            <w:pPr>
              <w:pStyle w:val="TableParagraph"/>
              <w:rPr>
                <w:sz w:val="22"/>
              </w:rPr>
            </w:pPr>
          </w:p>
        </w:tc>
        <w:tc>
          <w:tcPr>
            <w:tcW w:w="1510" w:type="dxa"/>
            <w:tcBorders>
              <w:top w:val="single" w:sz="12" w:space="0" w:color="000000"/>
              <w:bottom w:val="single" w:sz="12" w:space="0" w:color="000000"/>
            </w:tcBorders>
          </w:tcPr>
          <w:p>
            <w:pPr>
              <w:pStyle w:val="TableParagraph"/>
              <w:rPr>
                <w:sz w:val="22"/>
              </w:rPr>
            </w:pPr>
          </w:p>
        </w:tc>
        <w:tc>
          <w:tcPr>
            <w:tcW w:w="1050" w:type="dxa"/>
            <w:tcBorders>
              <w:top w:val="single" w:sz="12" w:space="0" w:color="000000"/>
              <w:bottom w:val="single" w:sz="12" w:space="0" w:color="000000"/>
            </w:tcBorders>
          </w:tcPr>
          <w:p>
            <w:pPr>
              <w:pStyle w:val="TableParagraph"/>
              <w:rPr>
                <w:sz w:val="22"/>
              </w:rPr>
            </w:pPr>
          </w:p>
        </w:tc>
      </w:tr>
      <w:tr>
        <w:trPr>
          <w:trHeight w:val="529" w:hRule="atLeast"/>
        </w:trPr>
        <w:tc>
          <w:tcPr>
            <w:tcW w:w="3128" w:type="dxa"/>
            <w:tcBorders>
              <w:top w:val="single" w:sz="12" w:space="0" w:color="000000"/>
            </w:tcBorders>
          </w:tcPr>
          <w:p>
            <w:pPr>
              <w:pStyle w:val="TableParagraph"/>
              <w:spacing w:line="249" w:lineRule="exact" w:before="260"/>
              <w:ind w:left="20"/>
              <w:rPr>
                <w:sz w:val="23"/>
              </w:rPr>
            </w:pPr>
            <w:r>
              <w:rPr>
                <w:spacing w:val="-2"/>
                <w:sz w:val="23"/>
              </w:rPr>
              <w:t>Constant</w:t>
            </w:r>
          </w:p>
        </w:tc>
        <w:tc>
          <w:tcPr>
            <w:tcW w:w="1409" w:type="dxa"/>
            <w:tcBorders>
              <w:top w:val="single" w:sz="12" w:space="0" w:color="000000"/>
            </w:tcBorders>
          </w:tcPr>
          <w:p>
            <w:pPr>
              <w:pStyle w:val="TableParagraph"/>
              <w:spacing w:line="249" w:lineRule="exact" w:before="260"/>
              <w:ind w:left="130" w:right="159"/>
              <w:jc w:val="center"/>
              <w:rPr>
                <w:sz w:val="23"/>
              </w:rPr>
            </w:pPr>
            <w:r>
              <w:rPr>
                <w:sz w:val="23"/>
              </w:rPr>
              <w:t>-</w:t>
            </w:r>
            <w:r>
              <w:rPr>
                <w:spacing w:val="-2"/>
                <w:sz w:val="23"/>
              </w:rPr>
              <w:t>2.787</w:t>
            </w:r>
          </w:p>
        </w:tc>
        <w:tc>
          <w:tcPr>
            <w:tcW w:w="1353" w:type="dxa"/>
            <w:tcBorders>
              <w:top w:val="single" w:sz="12" w:space="0" w:color="000000"/>
            </w:tcBorders>
          </w:tcPr>
          <w:p>
            <w:pPr>
              <w:pStyle w:val="TableParagraph"/>
              <w:spacing w:line="249" w:lineRule="exact" w:before="260"/>
              <w:ind w:left="7" w:right="68"/>
              <w:jc w:val="center"/>
              <w:rPr>
                <w:sz w:val="23"/>
              </w:rPr>
            </w:pPr>
            <w:r>
              <w:rPr>
                <w:spacing w:val="-2"/>
                <w:sz w:val="23"/>
              </w:rPr>
              <w:t>2.962</w:t>
            </w:r>
          </w:p>
        </w:tc>
        <w:tc>
          <w:tcPr>
            <w:tcW w:w="1510" w:type="dxa"/>
            <w:tcBorders>
              <w:top w:val="single" w:sz="12" w:space="0" w:color="000000"/>
            </w:tcBorders>
          </w:tcPr>
          <w:p>
            <w:pPr>
              <w:pStyle w:val="TableParagraph"/>
              <w:spacing w:line="249" w:lineRule="exact" w:before="260"/>
              <w:ind w:left="437"/>
              <w:rPr>
                <w:sz w:val="23"/>
              </w:rPr>
            </w:pPr>
            <w:r>
              <w:rPr>
                <w:spacing w:val="-2"/>
                <w:sz w:val="23"/>
              </w:rPr>
              <w:t>0.062</w:t>
            </w:r>
          </w:p>
        </w:tc>
        <w:tc>
          <w:tcPr>
            <w:tcW w:w="1050" w:type="dxa"/>
            <w:tcBorders>
              <w:top w:val="single" w:sz="12" w:space="0" w:color="000000"/>
            </w:tcBorders>
          </w:tcPr>
          <w:p>
            <w:pPr>
              <w:pStyle w:val="TableParagraph"/>
              <w:rPr>
                <w:sz w:val="23"/>
              </w:rPr>
            </w:pPr>
          </w:p>
          <w:p>
            <w:pPr>
              <w:pStyle w:val="TableParagraph"/>
              <w:spacing w:line="244" w:lineRule="exact"/>
              <w:ind w:left="331"/>
              <w:rPr>
                <w:sz w:val="23"/>
              </w:rPr>
            </w:pPr>
            <w:r>
              <w:rPr>
                <w:spacing w:val="-2"/>
                <w:sz w:val="23"/>
              </w:rPr>
              <w:t>0.085</w:t>
            </w:r>
          </w:p>
        </w:tc>
      </w:tr>
      <w:tr>
        <w:trPr>
          <w:trHeight w:val="257" w:hRule="atLeast"/>
        </w:trPr>
        <w:tc>
          <w:tcPr>
            <w:tcW w:w="3128" w:type="dxa"/>
          </w:tcPr>
          <w:p>
            <w:pPr>
              <w:pStyle w:val="TableParagraph"/>
              <w:spacing w:line="237" w:lineRule="exact"/>
              <w:ind w:left="29"/>
              <w:rPr>
                <w:sz w:val="23"/>
              </w:rPr>
            </w:pPr>
            <w:r>
              <w:rPr>
                <w:sz w:val="23"/>
              </w:rPr>
              <w:t>FM</w:t>
            </w:r>
            <w:r>
              <w:rPr>
                <w:spacing w:val="-6"/>
                <w:sz w:val="23"/>
              </w:rPr>
              <w:t> </w:t>
            </w:r>
            <w:r>
              <w:rPr>
                <w:spacing w:val="-2"/>
                <w:sz w:val="23"/>
              </w:rPr>
              <w:t>status</w:t>
            </w:r>
          </w:p>
        </w:tc>
        <w:tc>
          <w:tcPr>
            <w:tcW w:w="1409" w:type="dxa"/>
          </w:tcPr>
          <w:p>
            <w:pPr>
              <w:pStyle w:val="TableParagraph"/>
              <w:spacing w:line="237" w:lineRule="exact"/>
              <w:ind w:left="130" w:right="121"/>
              <w:jc w:val="center"/>
              <w:rPr>
                <w:sz w:val="23"/>
              </w:rPr>
            </w:pPr>
            <w:r>
              <w:rPr>
                <w:spacing w:val="-2"/>
                <w:sz w:val="23"/>
              </w:rPr>
              <w:t>0.063</w:t>
            </w:r>
          </w:p>
        </w:tc>
        <w:tc>
          <w:tcPr>
            <w:tcW w:w="1353" w:type="dxa"/>
          </w:tcPr>
          <w:p>
            <w:pPr>
              <w:pStyle w:val="TableParagraph"/>
              <w:spacing w:line="237" w:lineRule="exact"/>
              <w:ind w:right="68"/>
              <w:jc w:val="center"/>
              <w:rPr>
                <w:sz w:val="23"/>
              </w:rPr>
            </w:pPr>
            <w:r>
              <w:rPr>
                <w:spacing w:val="-2"/>
                <w:sz w:val="23"/>
              </w:rPr>
              <w:t>0.014</w:t>
            </w:r>
          </w:p>
        </w:tc>
        <w:tc>
          <w:tcPr>
            <w:tcW w:w="1510" w:type="dxa"/>
          </w:tcPr>
          <w:p>
            <w:pPr>
              <w:pStyle w:val="TableParagraph"/>
              <w:spacing w:line="237" w:lineRule="exact"/>
              <w:ind w:left="438"/>
              <w:rPr>
                <w:sz w:val="23"/>
              </w:rPr>
            </w:pPr>
            <w:r>
              <w:rPr>
                <w:spacing w:val="-2"/>
                <w:sz w:val="23"/>
              </w:rPr>
              <w:t>1.065</w:t>
            </w:r>
          </w:p>
        </w:tc>
        <w:tc>
          <w:tcPr>
            <w:tcW w:w="1050" w:type="dxa"/>
          </w:tcPr>
          <w:p>
            <w:pPr>
              <w:pStyle w:val="TableParagraph"/>
              <w:spacing w:line="237" w:lineRule="exact"/>
              <w:ind w:left="331"/>
              <w:rPr>
                <w:sz w:val="23"/>
              </w:rPr>
            </w:pPr>
            <w:r>
              <w:rPr>
                <w:spacing w:val="-2"/>
                <w:sz w:val="23"/>
              </w:rPr>
              <w:t>0.907</w:t>
            </w:r>
          </w:p>
        </w:tc>
      </w:tr>
      <w:tr>
        <w:trPr>
          <w:trHeight w:val="261" w:hRule="atLeast"/>
        </w:trPr>
        <w:tc>
          <w:tcPr>
            <w:tcW w:w="3128" w:type="dxa"/>
          </w:tcPr>
          <w:p>
            <w:pPr>
              <w:pStyle w:val="TableParagraph"/>
              <w:spacing w:line="242" w:lineRule="exact"/>
              <w:ind w:left="27"/>
              <w:rPr>
                <w:sz w:val="23"/>
              </w:rPr>
            </w:pPr>
            <w:r>
              <w:rPr>
                <w:sz w:val="23"/>
              </w:rPr>
              <w:t>Active</w:t>
            </w:r>
            <w:r>
              <w:rPr>
                <w:spacing w:val="5"/>
                <w:sz w:val="23"/>
              </w:rPr>
              <w:t> </w:t>
            </w:r>
            <w:r>
              <w:rPr>
                <w:sz w:val="23"/>
              </w:rPr>
              <w:t>leisure</w:t>
            </w:r>
            <w:r>
              <w:rPr>
                <w:spacing w:val="-2"/>
                <w:sz w:val="23"/>
              </w:rPr>
              <w:t> </w:t>
            </w:r>
            <w:r>
              <w:rPr>
                <w:sz w:val="23"/>
              </w:rPr>
              <w:t>in</w:t>
            </w:r>
            <w:r>
              <w:rPr>
                <w:spacing w:val="7"/>
                <w:sz w:val="23"/>
              </w:rPr>
              <w:t> </w:t>
            </w:r>
            <w:r>
              <w:rPr>
                <w:sz w:val="23"/>
              </w:rPr>
              <w:t>Wave</w:t>
            </w:r>
            <w:r>
              <w:rPr>
                <w:spacing w:val="3"/>
                <w:sz w:val="23"/>
              </w:rPr>
              <w:t> </w:t>
            </w:r>
            <w:r>
              <w:rPr>
                <w:spacing w:val="-12"/>
                <w:sz w:val="23"/>
              </w:rPr>
              <w:t>1</w:t>
            </w:r>
          </w:p>
        </w:tc>
        <w:tc>
          <w:tcPr>
            <w:tcW w:w="1409" w:type="dxa"/>
          </w:tcPr>
          <w:p>
            <w:pPr>
              <w:pStyle w:val="TableParagraph"/>
              <w:spacing w:line="242" w:lineRule="exact"/>
              <w:ind w:left="130" w:right="121"/>
              <w:jc w:val="center"/>
              <w:rPr>
                <w:sz w:val="23"/>
              </w:rPr>
            </w:pPr>
            <w:r>
              <w:rPr>
                <w:spacing w:val="-2"/>
                <w:sz w:val="23"/>
              </w:rPr>
              <w:t>0.892</w:t>
            </w:r>
          </w:p>
        </w:tc>
        <w:tc>
          <w:tcPr>
            <w:tcW w:w="1353" w:type="dxa"/>
          </w:tcPr>
          <w:p>
            <w:pPr>
              <w:pStyle w:val="TableParagraph"/>
              <w:spacing w:line="242" w:lineRule="exact"/>
              <w:ind w:left="12" w:right="68"/>
              <w:jc w:val="center"/>
              <w:rPr>
                <w:sz w:val="23"/>
              </w:rPr>
            </w:pPr>
            <w:r>
              <w:rPr>
                <w:spacing w:val="-2"/>
                <w:sz w:val="23"/>
              </w:rPr>
              <w:t>2.000</w:t>
            </w:r>
          </w:p>
        </w:tc>
        <w:tc>
          <w:tcPr>
            <w:tcW w:w="1510" w:type="dxa"/>
          </w:tcPr>
          <w:p>
            <w:pPr>
              <w:pStyle w:val="TableParagraph"/>
              <w:spacing w:line="242" w:lineRule="exact"/>
              <w:ind w:left="441"/>
              <w:rPr>
                <w:sz w:val="23"/>
              </w:rPr>
            </w:pPr>
            <w:r>
              <w:rPr>
                <w:spacing w:val="-2"/>
                <w:sz w:val="23"/>
              </w:rPr>
              <w:t>2.441</w:t>
            </w:r>
          </w:p>
        </w:tc>
        <w:tc>
          <w:tcPr>
            <w:tcW w:w="1050" w:type="dxa"/>
          </w:tcPr>
          <w:p>
            <w:pPr>
              <w:pStyle w:val="TableParagraph"/>
              <w:spacing w:line="242" w:lineRule="exact"/>
              <w:ind w:left="331"/>
              <w:rPr>
                <w:sz w:val="23"/>
              </w:rPr>
            </w:pPr>
            <w:r>
              <w:rPr>
                <w:spacing w:val="-2"/>
                <w:sz w:val="23"/>
              </w:rPr>
              <w:t>0.157</w:t>
            </w:r>
          </w:p>
        </w:tc>
      </w:tr>
      <w:tr>
        <w:trPr>
          <w:trHeight w:val="271" w:hRule="atLeast"/>
        </w:trPr>
        <w:tc>
          <w:tcPr>
            <w:tcW w:w="3128" w:type="dxa"/>
            <w:tcBorders>
              <w:bottom w:val="single" w:sz="12" w:space="0" w:color="000000"/>
            </w:tcBorders>
          </w:tcPr>
          <w:p>
            <w:pPr>
              <w:pStyle w:val="TableParagraph"/>
              <w:spacing w:line="252" w:lineRule="exact"/>
              <w:ind w:left="31"/>
              <w:rPr>
                <w:sz w:val="23"/>
              </w:rPr>
            </w:pPr>
            <w:r>
              <w:rPr>
                <w:sz w:val="23"/>
              </w:rPr>
              <w:t>Active</w:t>
            </w:r>
            <w:r>
              <w:rPr>
                <w:spacing w:val="5"/>
                <w:sz w:val="23"/>
              </w:rPr>
              <w:t> </w:t>
            </w:r>
            <w:r>
              <w:rPr>
                <w:sz w:val="23"/>
              </w:rPr>
              <w:t>leisure</w:t>
            </w:r>
            <w:r>
              <w:rPr>
                <w:spacing w:val="-4"/>
                <w:sz w:val="23"/>
              </w:rPr>
              <w:t> </w:t>
            </w:r>
            <w:r>
              <w:rPr>
                <w:sz w:val="23"/>
              </w:rPr>
              <w:t>change</w:t>
            </w:r>
            <w:r>
              <w:rPr>
                <w:spacing w:val="-1"/>
                <w:sz w:val="23"/>
              </w:rPr>
              <w:t> </w:t>
            </w:r>
            <w:r>
              <w:rPr>
                <w:spacing w:val="-2"/>
                <w:sz w:val="23"/>
              </w:rPr>
              <w:t>score</w:t>
            </w:r>
          </w:p>
        </w:tc>
        <w:tc>
          <w:tcPr>
            <w:tcW w:w="1409" w:type="dxa"/>
            <w:tcBorders>
              <w:bottom w:val="single" w:sz="12" w:space="0" w:color="000000"/>
            </w:tcBorders>
          </w:tcPr>
          <w:p>
            <w:pPr>
              <w:pStyle w:val="TableParagraph"/>
              <w:spacing w:line="252" w:lineRule="exact"/>
              <w:ind w:left="130" w:right="153"/>
              <w:jc w:val="center"/>
              <w:rPr>
                <w:sz w:val="23"/>
              </w:rPr>
            </w:pPr>
            <w:r>
              <w:rPr>
                <w:sz w:val="23"/>
              </w:rPr>
              <w:t>-</w:t>
            </w:r>
            <w:r>
              <w:rPr>
                <w:spacing w:val="-2"/>
                <w:sz w:val="23"/>
              </w:rPr>
              <w:t>0.003</w:t>
            </w:r>
          </w:p>
        </w:tc>
        <w:tc>
          <w:tcPr>
            <w:tcW w:w="1353" w:type="dxa"/>
            <w:tcBorders>
              <w:bottom w:val="single" w:sz="12" w:space="0" w:color="000000"/>
            </w:tcBorders>
          </w:tcPr>
          <w:p>
            <w:pPr>
              <w:pStyle w:val="TableParagraph"/>
              <w:spacing w:line="252" w:lineRule="exact"/>
              <w:ind w:left="15" w:right="68"/>
              <w:jc w:val="center"/>
              <w:rPr>
                <w:sz w:val="23"/>
              </w:rPr>
            </w:pPr>
            <w:r>
              <w:rPr>
                <w:spacing w:val="-2"/>
                <w:sz w:val="23"/>
              </w:rPr>
              <w:t>0.000</w:t>
            </w:r>
          </w:p>
        </w:tc>
        <w:tc>
          <w:tcPr>
            <w:tcW w:w="1510" w:type="dxa"/>
            <w:tcBorders>
              <w:bottom w:val="single" w:sz="12" w:space="0" w:color="000000"/>
            </w:tcBorders>
          </w:tcPr>
          <w:p>
            <w:pPr>
              <w:pStyle w:val="TableParagraph"/>
              <w:spacing w:line="252" w:lineRule="exact"/>
              <w:ind w:left="437"/>
              <w:rPr>
                <w:sz w:val="23"/>
              </w:rPr>
            </w:pPr>
            <w:r>
              <w:rPr>
                <w:spacing w:val="-2"/>
                <w:sz w:val="23"/>
              </w:rPr>
              <w:t>0.997</w:t>
            </w:r>
          </w:p>
        </w:tc>
        <w:tc>
          <w:tcPr>
            <w:tcW w:w="1050" w:type="dxa"/>
            <w:tcBorders>
              <w:bottom w:val="single" w:sz="12" w:space="0" w:color="000000"/>
            </w:tcBorders>
          </w:tcPr>
          <w:p>
            <w:pPr>
              <w:pStyle w:val="TableParagraph"/>
              <w:spacing w:line="252" w:lineRule="exact"/>
              <w:ind w:left="331"/>
              <w:rPr>
                <w:sz w:val="23"/>
              </w:rPr>
            </w:pPr>
            <w:r>
              <w:rPr>
                <w:spacing w:val="-2"/>
                <w:sz w:val="23"/>
              </w:rPr>
              <w:t>0.997</w:t>
            </w:r>
          </w:p>
        </w:tc>
      </w:tr>
      <w:tr>
        <w:trPr>
          <w:trHeight w:val="541" w:hRule="atLeast"/>
        </w:trPr>
        <w:tc>
          <w:tcPr>
            <w:tcW w:w="3128" w:type="dxa"/>
            <w:tcBorders>
              <w:top w:val="single" w:sz="12" w:space="0" w:color="000000"/>
              <w:bottom w:val="single" w:sz="12" w:space="0" w:color="000000"/>
            </w:tcBorders>
          </w:tcPr>
          <w:p>
            <w:pPr>
              <w:pStyle w:val="TableParagraph"/>
              <w:spacing w:before="5"/>
              <w:rPr>
                <w:sz w:val="23"/>
              </w:rPr>
            </w:pPr>
          </w:p>
          <w:p>
            <w:pPr>
              <w:pStyle w:val="TableParagraph"/>
              <w:spacing w:line="252" w:lineRule="exact"/>
              <w:ind w:left="39"/>
              <w:rPr>
                <w:sz w:val="23"/>
              </w:rPr>
            </w:pPr>
            <w:r>
              <w:rPr>
                <w:sz w:val="23"/>
              </w:rPr>
              <w:t>Passive</w:t>
            </w:r>
            <w:r>
              <w:rPr>
                <w:spacing w:val="5"/>
                <w:sz w:val="23"/>
              </w:rPr>
              <w:t> </w:t>
            </w:r>
            <w:r>
              <w:rPr>
                <w:spacing w:val="-2"/>
                <w:sz w:val="23"/>
              </w:rPr>
              <w:t>Leisure</w:t>
            </w:r>
          </w:p>
        </w:tc>
        <w:tc>
          <w:tcPr>
            <w:tcW w:w="1409" w:type="dxa"/>
            <w:tcBorders>
              <w:top w:val="single" w:sz="12" w:space="0" w:color="000000"/>
              <w:bottom w:val="single" w:sz="12" w:space="0" w:color="000000"/>
            </w:tcBorders>
          </w:tcPr>
          <w:p>
            <w:pPr>
              <w:pStyle w:val="TableParagraph"/>
              <w:rPr>
                <w:sz w:val="22"/>
              </w:rPr>
            </w:pPr>
          </w:p>
        </w:tc>
        <w:tc>
          <w:tcPr>
            <w:tcW w:w="1353" w:type="dxa"/>
            <w:tcBorders>
              <w:top w:val="single" w:sz="12" w:space="0" w:color="000000"/>
              <w:bottom w:val="single" w:sz="12" w:space="0" w:color="000000"/>
            </w:tcBorders>
          </w:tcPr>
          <w:p>
            <w:pPr>
              <w:pStyle w:val="TableParagraph"/>
              <w:rPr>
                <w:sz w:val="22"/>
              </w:rPr>
            </w:pPr>
          </w:p>
        </w:tc>
        <w:tc>
          <w:tcPr>
            <w:tcW w:w="1510" w:type="dxa"/>
            <w:tcBorders>
              <w:top w:val="single" w:sz="12" w:space="0" w:color="000000"/>
              <w:bottom w:val="single" w:sz="12" w:space="0" w:color="000000"/>
            </w:tcBorders>
          </w:tcPr>
          <w:p>
            <w:pPr>
              <w:pStyle w:val="TableParagraph"/>
              <w:rPr>
                <w:sz w:val="22"/>
              </w:rPr>
            </w:pPr>
          </w:p>
        </w:tc>
        <w:tc>
          <w:tcPr>
            <w:tcW w:w="1050" w:type="dxa"/>
            <w:tcBorders>
              <w:top w:val="single" w:sz="12" w:space="0" w:color="000000"/>
              <w:bottom w:val="single" w:sz="12" w:space="0" w:color="000000"/>
            </w:tcBorders>
          </w:tcPr>
          <w:p>
            <w:pPr>
              <w:pStyle w:val="TableParagraph"/>
              <w:rPr>
                <w:sz w:val="22"/>
              </w:rPr>
            </w:pPr>
          </w:p>
        </w:tc>
      </w:tr>
      <w:tr>
        <w:trPr>
          <w:trHeight w:val="527" w:hRule="atLeast"/>
        </w:trPr>
        <w:tc>
          <w:tcPr>
            <w:tcW w:w="3128" w:type="dxa"/>
            <w:tcBorders>
              <w:top w:val="single" w:sz="12" w:space="0" w:color="000000"/>
            </w:tcBorders>
          </w:tcPr>
          <w:p>
            <w:pPr>
              <w:pStyle w:val="TableParagraph"/>
              <w:rPr>
                <w:sz w:val="23"/>
              </w:rPr>
            </w:pPr>
          </w:p>
          <w:p>
            <w:pPr>
              <w:pStyle w:val="TableParagraph"/>
              <w:spacing w:line="242" w:lineRule="exact" w:before="1"/>
              <w:ind w:left="29"/>
              <w:rPr>
                <w:sz w:val="23"/>
              </w:rPr>
            </w:pPr>
            <w:r>
              <w:rPr>
                <w:spacing w:val="-2"/>
                <w:sz w:val="23"/>
              </w:rPr>
              <w:t>Constant</w:t>
            </w:r>
          </w:p>
        </w:tc>
        <w:tc>
          <w:tcPr>
            <w:tcW w:w="1409" w:type="dxa"/>
            <w:tcBorders>
              <w:top w:val="single" w:sz="12" w:space="0" w:color="000000"/>
            </w:tcBorders>
          </w:tcPr>
          <w:p>
            <w:pPr>
              <w:pStyle w:val="TableParagraph"/>
              <w:spacing w:line="247" w:lineRule="exact" w:before="260"/>
              <w:ind w:left="130" w:right="153"/>
              <w:jc w:val="center"/>
              <w:rPr>
                <w:sz w:val="23"/>
              </w:rPr>
            </w:pPr>
            <w:r>
              <w:rPr>
                <w:sz w:val="23"/>
              </w:rPr>
              <w:t>-</w:t>
            </w:r>
            <w:r>
              <w:rPr>
                <w:spacing w:val="-2"/>
                <w:sz w:val="23"/>
              </w:rPr>
              <w:t>2.953</w:t>
            </w:r>
          </w:p>
        </w:tc>
        <w:tc>
          <w:tcPr>
            <w:tcW w:w="1353" w:type="dxa"/>
            <w:tcBorders>
              <w:top w:val="single" w:sz="12" w:space="0" w:color="000000"/>
            </w:tcBorders>
          </w:tcPr>
          <w:p>
            <w:pPr>
              <w:pStyle w:val="TableParagraph"/>
              <w:spacing w:line="252" w:lineRule="exact" w:before="255"/>
              <w:ind w:left="18" w:right="68"/>
              <w:jc w:val="center"/>
              <w:rPr>
                <w:sz w:val="23"/>
              </w:rPr>
            </w:pPr>
            <w:r>
              <w:rPr>
                <w:spacing w:val="-2"/>
                <w:sz w:val="23"/>
              </w:rPr>
              <w:t>3.195</w:t>
            </w:r>
          </w:p>
        </w:tc>
        <w:tc>
          <w:tcPr>
            <w:tcW w:w="1510" w:type="dxa"/>
            <w:tcBorders>
              <w:top w:val="single" w:sz="12" w:space="0" w:color="000000"/>
            </w:tcBorders>
          </w:tcPr>
          <w:p>
            <w:pPr>
              <w:pStyle w:val="TableParagraph"/>
              <w:spacing w:line="252" w:lineRule="exact" w:before="255"/>
              <w:ind w:left="442"/>
              <w:rPr>
                <w:sz w:val="23"/>
              </w:rPr>
            </w:pPr>
            <w:r>
              <w:rPr>
                <w:spacing w:val="-2"/>
                <w:sz w:val="23"/>
              </w:rPr>
              <w:t>0.052</w:t>
            </w:r>
          </w:p>
        </w:tc>
        <w:tc>
          <w:tcPr>
            <w:tcW w:w="1050" w:type="dxa"/>
            <w:tcBorders>
              <w:top w:val="single" w:sz="12" w:space="0" w:color="000000"/>
            </w:tcBorders>
          </w:tcPr>
          <w:p>
            <w:pPr>
              <w:pStyle w:val="TableParagraph"/>
              <w:spacing w:line="247" w:lineRule="exact" w:before="260"/>
              <w:ind w:left="336"/>
              <w:rPr>
                <w:sz w:val="23"/>
              </w:rPr>
            </w:pPr>
            <w:r>
              <w:rPr>
                <w:spacing w:val="-2"/>
                <w:sz w:val="23"/>
              </w:rPr>
              <w:t>0.074</w:t>
            </w:r>
          </w:p>
        </w:tc>
      </w:tr>
      <w:tr>
        <w:trPr>
          <w:trHeight w:val="259" w:hRule="atLeast"/>
        </w:trPr>
        <w:tc>
          <w:tcPr>
            <w:tcW w:w="3128" w:type="dxa"/>
          </w:tcPr>
          <w:p>
            <w:pPr>
              <w:pStyle w:val="TableParagraph"/>
              <w:spacing w:line="240" w:lineRule="exact"/>
              <w:ind w:left="39"/>
              <w:rPr>
                <w:sz w:val="23"/>
              </w:rPr>
            </w:pPr>
            <w:r>
              <w:rPr>
                <w:sz w:val="23"/>
              </w:rPr>
              <w:t>FM </w:t>
            </w:r>
            <w:r>
              <w:rPr>
                <w:spacing w:val="-2"/>
                <w:sz w:val="23"/>
              </w:rPr>
              <w:t>status</w:t>
            </w:r>
          </w:p>
        </w:tc>
        <w:tc>
          <w:tcPr>
            <w:tcW w:w="1409" w:type="dxa"/>
          </w:tcPr>
          <w:p>
            <w:pPr>
              <w:pStyle w:val="TableParagraph"/>
              <w:spacing w:line="240" w:lineRule="exact"/>
              <w:ind w:left="130" w:right="116"/>
              <w:jc w:val="center"/>
              <w:rPr>
                <w:sz w:val="23"/>
              </w:rPr>
            </w:pPr>
            <w:r>
              <w:rPr>
                <w:spacing w:val="-2"/>
                <w:sz w:val="23"/>
              </w:rPr>
              <w:t>0.362</w:t>
            </w:r>
          </w:p>
        </w:tc>
        <w:tc>
          <w:tcPr>
            <w:tcW w:w="1353" w:type="dxa"/>
          </w:tcPr>
          <w:p>
            <w:pPr>
              <w:pStyle w:val="TableParagraph"/>
              <w:spacing w:line="240" w:lineRule="exact"/>
              <w:ind w:left="10" w:right="68"/>
              <w:jc w:val="center"/>
              <w:rPr>
                <w:sz w:val="23"/>
              </w:rPr>
            </w:pPr>
            <w:r>
              <w:rPr>
                <w:spacing w:val="-2"/>
                <w:sz w:val="23"/>
              </w:rPr>
              <w:t>0.531</w:t>
            </w:r>
          </w:p>
        </w:tc>
        <w:tc>
          <w:tcPr>
            <w:tcW w:w="1510" w:type="dxa"/>
          </w:tcPr>
          <w:p>
            <w:pPr>
              <w:pStyle w:val="TableParagraph"/>
              <w:spacing w:line="240" w:lineRule="exact"/>
              <w:ind w:left="443"/>
              <w:rPr>
                <w:sz w:val="23"/>
              </w:rPr>
            </w:pPr>
            <w:r>
              <w:rPr>
                <w:spacing w:val="-2"/>
                <w:sz w:val="23"/>
              </w:rPr>
              <w:t>1.437</w:t>
            </w:r>
          </w:p>
        </w:tc>
        <w:tc>
          <w:tcPr>
            <w:tcW w:w="1050" w:type="dxa"/>
          </w:tcPr>
          <w:p>
            <w:pPr>
              <w:pStyle w:val="TableParagraph"/>
              <w:spacing w:line="240" w:lineRule="exact"/>
              <w:ind w:left="336"/>
              <w:rPr>
                <w:sz w:val="23"/>
              </w:rPr>
            </w:pPr>
            <w:r>
              <w:rPr>
                <w:spacing w:val="-2"/>
                <w:sz w:val="23"/>
              </w:rPr>
              <w:t>0.466</w:t>
            </w:r>
          </w:p>
        </w:tc>
      </w:tr>
      <w:tr>
        <w:trPr>
          <w:trHeight w:val="261" w:hRule="atLeast"/>
        </w:trPr>
        <w:tc>
          <w:tcPr>
            <w:tcW w:w="3128" w:type="dxa"/>
          </w:tcPr>
          <w:p>
            <w:pPr>
              <w:pStyle w:val="TableParagraph"/>
              <w:spacing w:line="242" w:lineRule="exact"/>
              <w:ind w:left="39"/>
              <w:rPr>
                <w:sz w:val="23"/>
              </w:rPr>
            </w:pPr>
            <w:r>
              <w:rPr>
                <w:sz w:val="23"/>
              </w:rPr>
              <w:t>Passive</w:t>
            </w:r>
            <w:r>
              <w:rPr>
                <w:spacing w:val="1"/>
                <w:sz w:val="23"/>
              </w:rPr>
              <w:t> </w:t>
            </w:r>
            <w:r>
              <w:rPr>
                <w:sz w:val="23"/>
              </w:rPr>
              <w:t>leisure</w:t>
            </w:r>
            <w:r>
              <w:rPr>
                <w:spacing w:val="-1"/>
                <w:sz w:val="23"/>
              </w:rPr>
              <w:t> </w:t>
            </w:r>
            <w:r>
              <w:rPr>
                <w:sz w:val="23"/>
              </w:rPr>
              <w:t>in</w:t>
            </w:r>
            <w:r>
              <w:rPr>
                <w:spacing w:val="8"/>
                <w:sz w:val="23"/>
              </w:rPr>
              <w:t> </w:t>
            </w:r>
            <w:r>
              <w:rPr>
                <w:sz w:val="23"/>
              </w:rPr>
              <w:t>Wave</w:t>
            </w:r>
            <w:r>
              <w:rPr>
                <w:spacing w:val="-4"/>
                <w:sz w:val="23"/>
              </w:rPr>
              <w:t> </w:t>
            </w:r>
            <w:r>
              <w:rPr>
                <w:spacing w:val="-10"/>
                <w:sz w:val="23"/>
              </w:rPr>
              <w:t>1</w:t>
            </w:r>
          </w:p>
        </w:tc>
        <w:tc>
          <w:tcPr>
            <w:tcW w:w="1409" w:type="dxa"/>
          </w:tcPr>
          <w:p>
            <w:pPr>
              <w:pStyle w:val="TableParagraph"/>
              <w:spacing w:line="242" w:lineRule="exact"/>
              <w:ind w:left="130" w:right="110"/>
              <w:jc w:val="center"/>
              <w:rPr>
                <w:sz w:val="23"/>
              </w:rPr>
            </w:pPr>
            <w:r>
              <w:rPr>
                <w:spacing w:val="-2"/>
                <w:sz w:val="23"/>
              </w:rPr>
              <w:t>1.152</w:t>
            </w:r>
          </w:p>
        </w:tc>
        <w:tc>
          <w:tcPr>
            <w:tcW w:w="1353" w:type="dxa"/>
          </w:tcPr>
          <w:p>
            <w:pPr>
              <w:pStyle w:val="TableParagraph"/>
              <w:spacing w:line="242" w:lineRule="exact"/>
              <w:ind w:left="12" w:right="68"/>
              <w:jc w:val="center"/>
              <w:rPr>
                <w:sz w:val="23"/>
              </w:rPr>
            </w:pPr>
            <w:r>
              <w:rPr>
                <w:spacing w:val="-2"/>
                <w:sz w:val="23"/>
              </w:rPr>
              <w:t>2.521</w:t>
            </w:r>
          </w:p>
        </w:tc>
        <w:tc>
          <w:tcPr>
            <w:tcW w:w="1510" w:type="dxa"/>
          </w:tcPr>
          <w:p>
            <w:pPr>
              <w:pStyle w:val="TableParagraph"/>
              <w:spacing w:line="242" w:lineRule="exact"/>
              <w:ind w:left="441"/>
              <w:rPr>
                <w:sz w:val="23"/>
              </w:rPr>
            </w:pPr>
            <w:r>
              <w:rPr>
                <w:spacing w:val="-2"/>
                <w:sz w:val="23"/>
              </w:rPr>
              <w:t>3.165</w:t>
            </w:r>
          </w:p>
        </w:tc>
        <w:tc>
          <w:tcPr>
            <w:tcW w:w="1050" w:type="dxa"/>
          </w:tcPr>
          <w:p>
            <w:pPr>
              <w:pStyle w:val="TableParagraph"/>
              <w:spacing w:line="242" w:lineRule="exact"/>
              <w:ind w:left="336"/>
              <w:rPr>
                <w:sz w:val="23"/>
              </w:rPr>
            </w:pPr>
            <w:r>
              <w:rPr>
                <w:spacing w:val="-2"/>
                <w:sz w:val="23"/>
              </w:rPr>
              <w:t>0.112</w:t>
            </w:r>
          </w:p>
        </w:tc>
      </w:tr>
      <w:tr>
        <w:trPr>
          <w:trHeight w:val="262" w:hRule="atLeast"/>
        </w:trPr>
        <w:tc>
          <w:tcPr>
            <w:tcW w:w="3128" w:type="dxa"/>
            <w:tcBorders>
              <w:bottom w:val="single" w:sz="12" w:space="0" w:color="000000"/>
            </w:tcBorders>
          </w:tcPr>
          <w:p>
            <w:pPr>
              <w:pStyle w:val="TableParagraph"/>
              <w:spacing w:line="242" w:lineRule="exact"/>
              <w:ind w:left="39"/>
              <w:rPr>
                <w:sz w:val="23"/>
              </w:rPr>
            </w:pPr>
            <w:r>
              <w:rPr>
                <w:sz w:val="23"/>
              </w:rPr>
              <w:t>Passive</w:t>
            </w:r>
            <w:r>
              <w:rPr>
                <w:spacing w:val="6"/>
                <w:sz w:val="23"/>
              </w:rPr>
              <w:t> </w:t>
            </w:r>
            <w:r>
              <w:rPr>
                <w:sz w:val="23"/>
              </w:rPr>
              <w:t>leisure</w:t>
            </w:r>
            <w:r>
              <w:rPr>
                <w:spacing w:val="-5"/>
                <w:sz w:val="23"/>
              </w:rPr>
              <w:t> </w:t>
            </w:r>
            <w:r>
              <w:rPr>
                <w:sz w:val="23"/>
              </w:rPr>
              <w:t>change</w:t>
            </w:r>
            <w:r>
              <w:rPr>
                <w:spacing w:val="-5"/>
                <w:sz w:val="23"/>
              </w:rPr>
              <w:t> </w:t>
            </w:r>
            <w:r>
              <w:rPr>
                <w:spacing w:val="-2"/>
                <w:sz w:val="23"/>
              </w:rPr>
              <w:t>score</w:t>
            </w:r>
          </w:p>
        </w:tc>
        <w:tc>
          <w:tcPr>
            <w:tcW w:w="1409" w:type="dxa"/>
            <w:tcBorders>
              <w:bottom w:val="single" w:sz="12" w:space="0" w:color="000000"/>
            </w:tcBorders>
          </w:tcPr>
          <w:p>
            <w:pPr>
              <w:pStyle w:val="TableParagraph"/>
              <w:spacing w:line="242" w:lineRule="exact"/>
              <w:ind w:left="130" w:right="116"/>
              <w:jc w:val="center"/>
              <w:rPr>
                <w:sz w:val="23"/>
              </w:rPr>
            </w:pPr>
            <w:r>
              <w:rPr>
                <w:spacing w:val="-2"/>
                <w:sz w:val="23"/>
              </w:rPr>
              <w:t>0.831</w:t>
            </w:r>
          </w:p>
        </w:tc>
        <w:tc>
          <w:tcPr>
            <w:tcW w:w="1353" w:type="dxa"/>
            <w:tcBorders>
              <w:bottom w:val="single" w:sz="12" w:space="0" w:color="000000"/>
            </w:tcBorders>
          </w:tcPr>
          <w:p>
            <w:pPr>
              <w:pStyle w:val="TableParagraph"/>
              <w:spacing w:line="242" w:lineRule="exact"/>
              <w:ind w:left="26" w:right="68"/>
              <w:jc w:val="center"/>
              <w:rPr>
                <w:sz w:val="23"/>
              </w:rPr>
            </w:pPr>
            <w:r>
              <w:rPr>
                <w:spacing w:val="-2"/>
                <w:sz w:val="23"/>
              </w:rPr>
              <w:t>1.037</w:t>
            </w:r>
          </w:p>
        </w:tc>
        <w:tc>
          <w:tcPr>
            <w:tcW w:w="1510" w:type="dxa"/>
            <w:tcBorders>
              <w:bottom w:val="single" w:sz="12" w:space="0" w:color="000000"/>
            </w:tcBorders>
          </w:tcPr>
          <w:p>
            <w:pPr>
              <w:pStyle w:val="TableParagraph"/>
              <w:spacing w:line="242" w:lineRule="exact"/>
              <w:ind w:left="446"/>
              <w:rPr>
                <w:sz w:val="23"/>
              </w:rPr>
            </w:pPr>
            <w:r>
              <w:rPr>
                <w:spacing w:val="-2"/>
                <w:sz w:val="23"/>
              </w:rPr>
              <w:t>2.295</w:t>
            </w:r>
          </w:p>
        </w:tc>
        <w:tc>
          <w:tcPr>
            <w:tcW w:w="1050" w:type="dxa"/>
            <w:tcBorders>
              <w:bottom w:val="single" w:sz="12" w:space="0" w:color="000000"/>
            </w:tcBorders>
          </w:tcPr>
          <w:p>
            <w:pPr>
              <w:pStyle w:val="TableParagraph"/>
              <w:spacing w:line="242" w:lineRule="exact"/>
              <w:ind w:left="336"/>
              <w:rPr>
                <w:sz w:val="23"/>
              </w:rPr>
            </w:pPr>
            <w:r>
              <w:rPr>
                <w:spacing w:val="-2"/>
                <w:sz w:val="23"/>
              </w:rPr>
              <w:t>0.309</w:t>
            </w:r>
          </w:p>
        </w:tc>
      </w:tr>
    </w:tbl>
    <w:p>
      <w:pPr>
        <w:spacing w:line="235" w:lineRule="auto" w:before="5"/>
        <w:ind w:left="505" w:right="190" w:firstLine="5"/>
        <w:jc w:val="left"/>
        <w:rPr>
          <w:sz w:val="23"/>
        </w:rPr>
      </w:pPr>
      <w:r>
        <w:rPr>
          <w:i/>
          <w:sz w:val="23"/>
        </w:rPr>
        <w:t>Note.</w:t>
      </w:r>
      <w:r>
        <w:rPr>
          <w:sz w:val="17"/>
        </w:rPr>
        <w:t>a</w:t>
      </w:r>
      <w:r>
        <w:rPr>
          <w:spacing w:val="80"/>
          <w:sz w:val="17"/>
        </w:rPr>
        <w:t> </w:t>
      </w:r>
      <w:r>
        <w:rPr>
          <w:sz w:val="23"/>
        </w:rPr>
        <w:t>For</w:t>
      </w:r>
      <w:r>
        <w:rPr>
          <w:spacing w:val="-5"/>
          <w:sz w:val="23"/>
        </w:rPr>
        <w:t> </w:t>
      </w:r>
      <w:r>
        <w:rPr>
          <w:sz w:val="23"/>
        </w:rPr>
        <w:t>the logistic regressions, a</w:t>
      </w:r>
      <w:r>
        <w:rPr>
          <w:spacing w:val="-11"/>
          <w:sz w:val="23"/>
        </w:rPr>
        <w:t> </w:t>
      </w:r>
      <w:r>
        <w:rPr>
          <w:sz w:val="23"/>
        </w:rPr>
        <w:t>dichotomous depression variable was</w:t>
      </w:r>
      <w:r>
        <w:rPr>
          <w:spacing w:val="-12"/>
          <w:sz w:val="23"/>
        </w:rPr>
        <w:t> </w:t>
      </w:r>
      <w:r>
        <w:rPr>
          <w:sz w:val="23"/>
        </w:rPr>
        <w:t>created based on the Wave 2</w:t>
      </w:r>
      <w:r>
        <w:rPr>
          <w:spacing w:val="-6"/>
          <w:sz w:val="23"/>
        </w:rPr>
        <w:t> </w:t>
      </w:r>
      <w:r>
        <w:rPr>
          <w:sz w:val="23"/>
        </w:rPr>
        <w:t>-</w:t>
      </w:r>
      <w:r>
        <w:rPr>
          <w:spacing w:val="40"/>
          <w:sz w:val="23"/>
        </w:rPr>
        <w:t> </w:t>
      </w:r>
      <w:r>
        <w:rPr>
          <w:sz w:val="23"/>
        </w:rPr>
        <w:t>Wave</w:t>
      </w:r>
      <w:r>
        <w:rPr>
          <w:spacing w:val="40"/>
          <w:sz w:val="23"/>
        </w:rPr>
        <w:t> </w:t>
      </w:r>
      <w:r>
        <w:rPr>
          <w:sz w:val="23"/>
        </w:rPr>
        <w:t>l</w:t>
      </w:r>
      <w:r>
        <w:rPr>
          <w:spacing w:val="38"/>
          <w:sz w:val="23"/>
        </w:rPr>
        <w:t> </w:t>
      </w:r>
      <w:r>
        <w:rPr>
          <w:sz w:val="23"/>
        </w:rPr>
        <w:t>change score (either</w:t>
      </w:r>
      <w:r>
        <w:rPr>
          <w:spacing w:val="32"/>
          <w:sz w:val="23"/>
        </w:rPr>
        <w:t> </w:t>
      </w:r>
      <w:r>
        <w:rPr>
          <w:sz w:val="23"/>
        </w:rPr>
        <w:t>increased</w:t>
      </w:r>
      <w:r>
        <w:rPr>
          <w:spacing w:val="32"/>
          <w:sz w:val="23"/>
        </w:rPr>
        <w:t> </w:t>
      </w:r>
      <w:r>
        <w:rPr>
          <w:sz w:val="23"/>
        </w:rPr>
        <w:t>or decreased/stayed the same).</w:t>
      </w:r>
    </w:p>
    <w:p>
      <w:pPr>
        <w:spacing w:line="240" w:lineRule="auto" w:before="0"/>
        <w:ind w:left="520" w:right="119" w:hanging="87"/>
        <w:jc w:val="left"/>
        <w:rPr>
          <w:sz w:val="23"/>
        </w:rPr>
      </w:pPr>
      <w:r>
        <w:rPr>
          <w:w w:val="85"/>
          <w:sz w:val="23"/>
        </w:rPr>
        <w:t>b</w:t>
      </w:r>
      <w:r>
        <w:rPr>
          <w:spacing w:val="73"/>
          <w:sz w:val="23"/>
        </w:rPr>
        <w:t> </w:t>
      </w:r>
      <w:r>
        <w:rPr>
          <w:sz w:val="23"/>
        </w:rPr>
        <w:t>Leisure</w:t>
      </w:r>
      <w:r>
        <w:rPr>
          <w:spacing w:val="-5"/>
          <w:sz w:val="23"/>
        </w:rPr>
        <w:t> </w:t>
      </w:r>
      <w:r>
        <w:rPr>
          <w:sz w:val="23"/>
        </w:rPr>
        <w:t>change scores</w:t>
      </w:r>
      <w:r>
        <w:rPr>
          <w:spacing w:val="-1"/>
          <w:sz w:val="23"/>
        </w:rPr>
        <w:t> </w:t>
      </w:r>
      <w:r>
        <w:rPr>
          <w:sz w:val="23"/>
        </w:rPr>
        <w:t>were</w:t>
      </w:r>
      <w:r>
        <w:rPr>
          <w:spacing w:val="-7"/>
          <w:sz w:val="23"/>
        </w:rPr>
        <w:t> </w:t>
      </w:r>
      <w:r>
        <w:rPr>
          <w:sz w:val="23"/>
        </w:rPr>
        <w:t>computed as</w:t>
      </w:r>
      <w:r>
        <w:rPr>
          <w:spacing w:val="-5"/>
          <w:sz w:val="23"/>
        </w:rPr>
        <w:t> </w:t>
      </w:r>
      <w:r>
        <w:rPr>
          <w:sz w:val="23"/>
        </w:rPr>
        <w:t>follows: leisure</w:t>
      </w:r>
      <w:r>
        <w:rPr>
          <w:spacing w:val="-3"/>
          <w:sz w:val="23"/>
        </w:rPr>
        <w:t> </w:t>
      </w:r>
      <w:r>
        <w:rPr>
          <w:sz w:val="23"/>
        </w:rPr>
        <w:t>score in Wave 2</w:t>
      </w:r>
      <w:r>
        <w:rPr>
          <w:spacing w:val="-15"/>
          <w:sz w:val="23"/>
        </w:rPr>
        <w:t> </w:t>
      </w:r>
      <w:r>
        <w:rPr>
          <w:sz w:val="23"/>
        </w:rPr>
        <w:t>-</w:t>
      </w:r>
      <w:r>
        <w:rPr>
          <w:spacing w:val="40"/>
          <w:sz w:val="23"/>
        </w:rPr>
        <w:t> </w:t>
      </w:r>
      <w:r>
        <w:rPr>
          <w:sz w:val="23"/>
        </w:rPr>
        <w:t>leisure score in Wave</w:t>
      </w:r>
      <w:r>
        <w:rPr>
          <w:spacing w:val="40"/>
          <w:sz w:val="23"/>
        </w:rPr>
        <w:t> </w:t>
      </w:r>
      <w:r>
        <w:rPr>
          <w:sz w:val="23"/>
        </w:rPr>
        <w:t>l</w:t>
      </w:r>
    </w:p>
    <w:p>
      <w:pPr>
        <w:pStyle w:val="BodyText"/>
        <w:spacing w:before="250"/>
        <w:rPr>
          <w:sz w:val="23"/>
        </w:rPr>
      </w:pPr>
    </w:p>
    <w:p>
      <w:pPr>
        <w:spacing w:line="472" w:lineRule="auto" w:before="1"/>
        <w:ind w:left="506" w:right="190" w:firstLine="15"/>
        <w:jc w:val="left"/>
        <w:rPr>
          <w:sz w:val="23"/>
        </w:rPr>
      </w:pPr>
      <w:r>
        <w:rPr>
          <w:sz w:val="23"/>
        </w:rPr>
        <w:t>In Model</w:t>
      </w:r>
      <w:r>
        <w:rPr>
          <w:spacing w:val="40"/>
          <w:sz w:val="23"/>
        </w:rPr>
        <w:t> </w:t>
      </w:r>
      <w:r>
        <w:rPr>
          <w:sz w:val="23"/>
        </w:rPr>
        <w:t>I</w:t>
      </w:r>
      <w:r>
        <w:rPr>
          <w:spacing w:val="29"/>
          <w:sz w:val="23"/>
        </w:rPr>
        <w:t> </w:t>
      </w:r>
      <w:r>
        <w:rPr>
          <w:sz w:val="23"/>
        </w:rPr>
        <w:t>(overall</w:t>
      </w:r>
      <w:r>
        <w:rPr>
          <w:spacing w:val="26"/>
          <w:sz w:val="23"/>
        </w:rPr>
        <w:t> </w:t>
      </w:r>
      <w:r>
        <w:rPr>
          <w:sz w:val="23"/>
        </w:rPr>
        <w:t>leisure), a</w:t>
      </w:r>
      <w:r>
        <w:rPr>
          <w:spacing w:val="-4"/>
          <w:sz w:val="23"/>
        </w:rPr>
        <w:t> </w:t>
      </w:r>
      <w:r>
        <w:rPr>
          <w:sz w:val="23"/>
        </w:rPr>
        <w:t>total of</w:t>
      </w:r>
      <w:r>
        <w:rPr>
          <w:spacing w:val="-2"/>
          <w:sz w:val="23"/>
        </w:rPr>
        <w:t> </w:t>
      </w:r>
      <w:r>
        <w:rPr>
          <w:sz w:val="23"/>
        </w:rPr>
        <w:t>78</w:t>
      </w:r>
      <w:r>
        <w:rPr>
          <w:spacing w:val="-6"/>
          <w:sz w:val="23"/>
        </w:rPr>
        <w:t> </w:t>
      </w:r>
      <w:r>
        <w:rPr>
          <w:sz w:val="23"/>
        </w:rPr>
        <w:t>cases were analyzed</w:t>
      </w:r>
      <w:r>
        <w:rPr>
          <w:spacing w:val="28"/>
          <w:sz w:val="23"/>
        </w:rPr>
        <w:t> </w:t>
      </w:r>
      <w:r>
        <w:rPr>
          <w:sz w:val="23"/>
        </w:rPr>
        <w:t>with 74 cases included</w:t>
      </w:r>
      <w:r>
        <w:rPr>
          <w:spacing w:val="30"/>
          <w:sz w:val="23"/>
        </w:rPr>
        <w:t> </w:t>
      </w:r>
      <w:r>
        <w:rPr>
          <w:sz w:val="23"/>
        </w:rPr>
        <w:t>in the analysis (four cases had missing data on one or more variables).</w:t>
      </w:r>
      <w:r>
        <w:rPr>
          <w:spacing w:val="40"/>
          <w:sz w:val="23"/>
        </w:rPr>
        <w:t> </w:t>
      </w:r>
      <w:r>
        <w:rPr>
          <w:sz w:val="23"/>
        </w:rPr>
        <w:t>The full model showed no significance (omnibus chi-square= 3.97, </w:t>
      </w:r>
      <w:r>
        <w:rPr>
          <w:i/>
          <w:sz w:val="23"/>
        </w:rPr>
        <w:t>df=</w:t>
      </w:r>
      <w:r>
        <w:rPr>
          <w:i/>
          <w:spacing w:val="40"/>
          <w:sz w:val="23"/>
        </w:rPr>
        <w:t> </w:t>
      </w:r>
      <w:r>
        <w:rPr>
          <w:sz w:val="23"/>
        </w:rPr>
        <w:t>3, </w:t>
      </w:r>
      <w:r>
        <w:rPr>
          <w:i/>
          <w:sz w:val="23"/>
        </w:rPr>
        <w:t>p </w:t>
      </w:r>
      <w:r>
        <w:rPr>
          <w:sz w:val="23"/>
        </w:rPr>
        <w:t>= .265). There was no significant association between overall leisure activity in Wave</w:t>
      </w:r>
      <w:r>
        <w:rPr>
          <w:spacing w:val="38"/>
          <w:sz w:val="23"/>
        </w:rPr>
        <w:t> </w:t>
      </w:r>
      <w:r>
        <w:rPr>
          <w:sz w:val="23"/>
        </w:rPr>
        <w:t>I and depressive symptoms in Wave 2 (odds ratio, OR=</w:t>
      </w:r>
      <w:r>
        <w:rPr>
          <w:spacing w:val="40"/>
          <w:sz w:val="23"/>
        </w:rPr>
        <w:t> </w:t>
      </w:r>
      <w:r>
        <w:rPr>
          <w:sz w:val="23"/>
        </w:rPr>
        <w:t>4.41, 95% CI=</w:t>
      </w:r>
      <w:r>
        <w:rPr>
          <w:spacing w:val="40"/>
          <w:sz w:val="23"/>
        </w:rPr>
        <w:t> </w:t>
      </w:r>
      <w:r>
        <w:rPr>
          <w:sz w:val="23"/>
        </w:rPr>
        <w:t>.85, 23.02). In Model 2 (active leisure), a</w:t>
      </w:r>
      <w:r>
        <w:rPr>
          <w:spacing w:val="-2"/>
          <w:sz w:val="23"/>
        </w:rPr>
        <w:t> </w:t>
      </w:r>
      <w:r>
        <w:rPr>
          <w:sz w:val="23"/>
        </w:rPr>
        <w:t>total of</w:t>
      </w:r>
      <w:r>
        <w:rPr>
          <w:spacing w:val="-1"/>
          <w:sz w:val="23"/>
        </w:rPr>
        <w:t> </w:t>
      </w:r>
      <w:r>
        <w:rPr>
          <w:sz w:val="23"/>
        </w:rPr>
        <w:t>78</w:t>
      </w:r>
      <w:r>
        <w:rPr>
          <w:spacing w:val="-13"/>
          <w:sz w:val="23"/>
        </w:rPr>
        <w:t> </w:t>
      </w:r>
      <w:r>
        <w:rPr>
          <w:sz w:val="23"/>
        </w:rPr>
        <w:t>cases were</w:t>
      </w:r>
      <w:r>
        <w:rPr>
          <w:spacing w:val="-7"/>
          <w:sz w:val="23"/>
        </w:rPr>
        <w:t> </w:t>
      </w:r>
      <w:r>
        <w:rPr>
          <w:sz w:val="23"/>
        </w:rPr>
        <w:t>analyzed</w:t>
      </w:r>
      <w:r>
        <w:rPr>
          <w:spacing w:val="21"/>
          <w:sz w:val="23"/>
        </w:rPr>
        <w:t> </w:t>
      </w:r>
      <w:r>
        <w:rPr>
          <w:sz w:val="23"/>
        </w:rPr>
        <w:t>with 74</w:t>
      </w:r>
      <w:r>
        <w:rPr>
          <w:spacing w:val="-2"/>
          <w:sz w:val="23"/>
        </w:rPr>
        <w:t> </w:t>
      </w:r>
      <w:r>
        <w:rPr>
          <w:sz w:val="23"/>
        </w:rPr>
        <w:t>cases included in the analysis. The full model, again, was not significant</w:t>
      </w:r>
      <w:r>
        <w:rPr>
          <w:spacing w:val="32"/>
          <w:sz w:val="23"/>
        </w:rPr>
        <w:t> </w:t>
      </w:r>
      <w:r>
        <w:rPr>
          <w:sz w:val="23"/>
        </w:rPr>
        <w:t>(omnibus chi-square=</w:t>
      </w:r>
      <w:r>
        <w:rPr>
          <w:spacing w:val="40"/>
          <w:sz w:val="23"/>
        </w:rPr>
        <w:t> </w:t>
      </w:r>
      <w:r>
        <w:rPr>
          <w:sz w:val="23"/>
        </w:rPr>
        <w:t>2.84, </w:t>
      </w:r>
      <w:r>
        <w:rPr>
          <w:i/>
          <w:sz w:val="23"/>
        </w:rPr>
        <w:t>df=</w:t>
      </w:r>
      <w:r>
        <w:rPr>
          <w:i/>
          <w:spacing w:val="40"/>
          <w:sz w:val="23"/>
        </w:rPr>
        <w:t> </w:t>
      </w:r>
      <w:r>
        <w:rPr>
          <w:i/>
          <w:sz w:val="23"/>
        </w:rPr>
        <w:t>3,p</w:t>
      </w:r>
      <w:r>
        <w:rPr>
          <w:i/>
          <w:spacing w:val="40"/>
          <w:sz w:val="23"/>
        </w:rPr>
        <w:t> </w:t>
      </w:r>
      <w:r>
        <w:rPr>
          <w:sz w:val="23"/>
        </w:rPr>
        <w:t>= .417). There</w:t>
      </w:r>
    </w:p>
    <w:p>
      <w:pPr>
        <w:spacing w:after="0" w:line="472" w:lineRule="auto"/>
        <w:jc w:val="left"/>
        <w:rPr>
          <w:sz w:val="23"/>
        </w:rPr>
        <w:sectPr>
          <w:headerReference w:type="default" r:id="rId37"/>
          <w:pgSz w:w="12570" w:h="15750"/>
          <w:pgMar w:header="1001" w:footer="0" w:top="1580" w:bottom="280" w:left="1780" w:right="1760"/>
        </w:sectPr>
      </w:pPr>
    </w:p>
    <w:p>
      <w:pPr>
        <w:pStyle w:val="BodyText"/>
        <w:spacing w:line="491" w:lineRule="auto" w:before="81"/>
        <w:ind w:left="493" w:right="240" w:firstLine="9"/>
      </w:pPr>
      <w:r>
        <w:rPr>
          <w:w w:val="105"/>
        </w:rPr>
        <w:t>was</w:t>
      </w:r>
      <w:r>
        <w:rPr>
          <w:spacing w:val="-2"/>
          <w:w w:val="105"/>
        </w:rPr>
        <w:t> </w:t>
      </w:r>
      <w:r>
        <w:rPr>
          <w:w w:val="105"/>
        </w:rPr>
        <w:t>no</w:t>
      </w:r>
      <w:r>
        <w:rPr>
          <w:spacing w:val="-5"/>
          <w:w w:val="105"/>
        </w:rPr>
        <w:t> </w:t>
      </w:r>
      <w:r>
        <w:rPr>
          <w:w w:val="105"/>
        </w:rPr>
        <w:t>significant correlation</w:t>
      </w:r>
      <w:r>
        <w:rPr>
          <w:spacing w:val="24"/>
          <w:w w:val="105"/>
        </w:rPr>
        <w:t> </w:t>
      </w:r>
      <w:r>
        <w:rPr>
          <w:w w:val="105"/>
        </w:rPr>
        <w:t>between</w:t>
      </w:r>
      <w:r>
        <w:rPr>
          <w:w w:val="105"/>
        </w:rPr>
        <w:t> active leisure activity in Wave</w:t>
      </w:r>
      <w:r>
        <w:rPr>
          <w:spacing w:val="26"/>
          <w:w w:val="105"/>
        </w:rPr>
        <w:t> </w:t>
      </w:r>
      <w:r>
        <w:rPr/>
        <w:t>I</w:t>
      </w:r>
      <w:r>
        <w:rPr>
          <w:spacing w:val="27"/>
          <w:w w:val="105"/>
        </w:rPr>
        <w:t> </w:t>
      </w:r>
      <w:r>
        <w:rPr>
          <w:w w:val="105"/>
        </w:rPr>
        <w:t>and depressive symptoms in Wave 2 (OR= 2.44, 95% CI=</w:t>
      </w:r>
      <w:r>
        <w:rPr>
          <w:spacing w:val="40"/>
          <w:w w:val="105"/>
        </w:rPr>
        <w:t> </w:t>
      </w:r>
      <w:r>
        <w:rPr>
          <w:w w:val="105"/>
        </w:rPr>
        <w:t>.71, 8.41). In Model 3 (passive leisure), a total of</w:t>
      </w:r>
      <w:r>
        <w:rPr>
          <w:spacing w:val="-9"/>
          <w:w w:val="105"/>
        </w:rPr>
        <w:t> </w:t>
      </w:r>
      <w:r>
        <w:rPr>
          <w:w w:val="105"/>
        </w:rPr>
        <w:t>78</w:t>
      </w:r>
      <w:r>
        <w:rPr>
          <w:spacing w:val="-11"/>
          <w:w w:val="105"/>
        </w:rPr>
        <w:t> </w:t>
      </w:r>
      <w:r>
        <w:rPr>
          <w:w w:val="105"/>
        </w:rPr>
        <w:t>cases</w:t>
      </w:r>
      <w:r>
        <w:rPr>
          <w:spacing w:val="-1"/>
          <w:w w:val="105"/>
        </w:rPr>
        <w:t> </w:t>
      </w:r>
      <w:r>
        <w:rPr>
          <w:w w:val="105"/>
        </w:rPr>
        <w:t>were</w:t>
      </w:r>
      <w:r>
        <w:rPr>
          <w:spacing w:val="-5"/>
          <w:w w:val="105"/>
        </w:rPr>
        <w:t> </w:t>
      </w:r>
      <w:r>
        <w:rPr>
          <w:w w:val="105"/>
        </w:rPr>
        <w:t>analyzed</w:t>
      </w:r>
      <w:r>
        <w:rPr>
          <w:w w:val="105"/>
        </w:rPr>
        <w:t> with 75</w:t>
      </w:r>
      <w:r>
        <w:rPr>
          <w:spacing w:val="-4"/>
          <w:w w:val="105"/>
        </w:rPr>
        <w:t> </w:t>
      </w:r>
      <w:r>
        <w:rPr>
          <w:w w:val="105"/>
        </w:rPr>
        <w:t>cases included</w:t>
      </w:r>
      <w:r>
        <w:rPr>
          <w:spacing w:val="16"/>
          <w:w w:val="105"/>
        </w:rPr>
        <w:t> </w:t>
      </w:r>
      <w:r>
        <w:rPr>
          <w:w w:val="105"/>
        </w:rPr>
        <w:t>in the</w:t>
      </w:r>
      <w:r>
        <w:rPr>
          <w:spacing w:val="-8"/>
          <w:w w:val="105"/>
        </w:rPr>
        <w:t> </w:t>
      </w:r>
      <w:r>
        <w:rPr>
          <w:w w:val="105"/>
        </w:rPr>
        <w:t>analysis. Same</w:t>
      </w:r>
      <w:r>
        <w:rPr>
          <w:spacing w:val="-3"/>
          <w:w w:val="105"/>
        </w:rPr>
        <w:t> </w:t>
      </w:r>
      <w:r>
        <w:rPr>
          <w:w w:val="105"/>
        </w:rPr>
        <w:t>as</w:t>
      </w:r>
      <w:r>
        <w:rPr>
          <w:spacing w:val="-5"/>
          <w:w w:val="105"/>
        </w:rPr>
        <w:t> </w:t>
      </w:r>
      <w:r>
        <w:rPr>
          <w:w w:val="105"/>
        </w:rPr>
        <w:t>Model</w:t>
      </w:r>
      <w:r>
        <w:rPr>
          <w:spacing w:val="36"/>
          <w:w w:val="105"/>
        </w:rPr>
        <w:t> </w:t>
      </w:r>
      <w:r>
        <w:rPr/>
        <w:t>I </w:t>
      </w:r>
      <w:r>
        <w:rPr>
          <w:w w:val="105"/>
        </w:rPr>
        <w:t>and 2, the full model</w:t>
      </w:r>
      <w:r>
        <w:rPr>
          <w:w w:val="105"/>
        </w:rPr>
        <w:t> was not significant (omnibus chi-square= 3.10, </w:t>
      </w:r>
      <w:r>
        <w:rPr>
          <w:i/>
          <w:w w:val="105"/>
          <w:sz w:val="23"/>
        </w:rPr>
        <w:t>df=</w:t>
      </w:r>
      <w:r>
        <w:rPr>
          <w:i/>
          <w:w w:val="105"/>
          <w:sz w:val="23"/>
        </w:rPr>
        <w:t> 3,p</w:t>
      </w:r>
      <w:r>
        <w:rPr>
          <w:i/>
          <w:spacing w:val="40"/>
          <w:w w:val="105"/>
          <w:sz w:val="23"/>
        </w:rPr>
        <w:t> </w:t>
      </w:r>
      <w:r>
        <w:rPr>
          <w:w w:val="105"/>
        </w:rPr>
        <w:t>= .377). There was no</w:t>
      </w:r>
      <w:r>
        <w:rPr>
          <w:spacing w:val="-4"/>
          <w:w w:val="105"/>
        </w:rPr>
        <w:t> </w:t>
      </w:r>
      <w:r>
        <w:rPr>
          <w:w w:val="105"/>
        </w:rPr>
        <w:t>significant correlation</w:t>
      </w:r>
      <w:r>
        <w:rPr>
          <w:spacing w:val="30"/>
          <w:w w:val="105"/>
        </w:rPr>
        <w:t> </w:t>
      </w:r>
      <w:r>
        <w:rPr>
          <w:w w:val="105"/>
        </w:rPr>
        <w:t>between</w:t>
      </w:r>
      <w:r>
        <w:rPr>
          <w:spacing w:val="30"/>
          <w:w w:val="105"/>
        </w:rPr>
        <w:t> </w:t>
      </w:r>
      <w:r>
        <w:rPr>
          <w:w w:val="105"/>
        </w:rPr>
        <w:t>passive leisure activity</w:t>
      </w:r>
      <w:r>
        <w:rPr>
          <w:w w:val="105"/>
        </w:rPr>
        <w:t> in Wave</w:t>
      </w:r>
      <w:r>
        <w:rPr>
          <w:spacing w:val="36"/>
          <w:w w:val="105"/>
        </w:rPr>
        <w:t> </w:t>
      </w:r>
      <w:r>
        <w:rPr/>
        <w:t>I</w:t>
      </w:r>
      <w:r>
        <w:rPr>
          <w:w w:val="105"/>
        </w:rPr>
        <w:t> and depressive symptoms in Wave 2 (OR= 3.17, 95% CI=</w:t>
      </w:r>
      <w:r>
        <w:rPr>
          <w:spacing w:val="40"/>
          <w:w w:val="105"/>
        </w:rPr>
        <w:t> </w:t>
      </w:r>
      <w:r>
        <w:rPr>
          <w:w w:val="105"/>
        </w:rPr>
        <w:t>.76, 13.12).</w:t>
      </w:r>
    </w:p>
    <w:p>
      <w:pPr>
        <w:spacing w:after="0" w:line="491" w:lineRule="auto"/>
        <w:sectPr>
          <w:headerReference w:type="default" r:id="rId38"/>
          <w:pgSz w:w="12480" w:h="15730"/>
          <w:pgMar w:header="1024" w:footer="0" w:top="1600" w:bottom="280" w:left="1760" w:right="1760"/>
        </w:sectPr>
      </w:pPr>
    </w:p>
    <w:p>
      <w:pPr>
        <w:pStyle w:val="BodyText"/>
      </w:pPr>
    </w:p>
    <w:p>
      <w:pPr>
        <w:pStyle w:val="BodyText"/>
      </w:pPr>
    </w:p>
    <w:p>
      <w:pPr>
        <w:pStyle w:val="BodyText"/>
      </w:pPr>
    </w:p>
    <w:p>
      <w:pPr>
        <w:pStyle w:val="BodyText"/>
        <w:spacing w:before="125"/>
      </w:pPr>
    </w:p>
    <w:p>
      <w:pPr>
        <w:pStyle w:val="BodyText"/>
        <w:spacing w:line="496" w:lineRule="auto" w:before="1"/>
        <w:ind w:left="4019" w:right="3626" w:hanging="5"/>
        <w:jc w:val="center"/>
      </w:pPr>
      <w:r>
        <w:rPr>
          <w:spacing w:val="-2"/>
          <w:w w:val="105"/>
        </w:rPr>
        <w:t>CHAPTER4 </w:t>
      </w:r>
      <w:r>
        <w:rPr>
          <w:spacing w:val="-2"/>
        </w:rPr>
        <w:t>DISCUSSION</w:t>
      </w:r>
    </w:p>
    <w:p>
      <w:pPr>
        <w:pStyle w:val="BodyText"/>
        <w:spacing w:before="6"/>
      </w:pPr>
    </w:p>
    <w:p>
      <w:pPr>
        <w:pStyle w:val="BodyText"/>
        <w:spacing w:line="494" w:lineRule="auto"/>
        <w:ind w:left="515" w:right="144" w:firstLine="689"/>
      </w:pPr>
      <w:r>
        <w:rPr>
          <w:w w:val="105"/>
        </w:rPr>
        <w:t>The results of the current study offer insight on the associations among chronic pain (i.e., fibromyalgia), reported depressive symptoms, and engagement</w:t>
      </w:r>
      <w:r>
        <w:rPr>
          <w:spacing w:val="35"/>
          <w:w w:val="105"/>
        </w:rPr>
        <w:t> </w:t>
      </w:r>
      <w:r>
        <w:rPr>
          <w:w w:val="105"/>
        </w:rPr>
        <w:t>in leisure activities.</w:t>
      </w:r>
      <w:r>
        <w:rPr>
          <w:spacing w:val="-1"/>
          <w:w w:val="105"/>
        </w:rPr>
        <w:t> </w:t>
      </w:r>
      <w:r>
        <w:rPr>
          <w:w w:val="105"/>
        </w:rPr>
        <w:t>As</w:t>
      </w:r>
      <w:r>
        <w:rPr>
          <w:spacing w:val="-15"/>
          <w:w w:val="105"/>
        </w:rPr>
        <w:t> </w:t>
      </w:r>
      <w:r>
        <w:rPr>
          <w:w w:val="105"/>
        </w:rPr>
        <w:t>anticipated, when compared to</w:t>
      </w:r>
      <w:r>
        <w:rPr>
          <w:spacing w:val="-5"/>
          <w:w w:val="105"/>
        </w:rPr>
        <w:t> </w:t>
      </w:r>
      <w:r>
        <w:rPr>
          <w:w w:val="105"/>
        </w:rPr>
        <w:t>persons in</w:t>
      </w:r>
      <w:r>
        <w:rPr>
          <w:spacing w:val="-3"/>
          <w:w w:val="105"/>
        </w:rPr>
        <w:t> </w:t>
      </w:r>
      <w:r>
        <w:rPr>
          <w:w w:val="105"/>
        </w:rPr>
        <w:t>a non-FM group, people</w:t>
      </w:r>
      <w:r>
        <w:rPr>
          <w:spacing w:val="-4"/>
          <w:w w:val="105"/>
        </w:rPr>
        <w:t> </w:t>
      </w:r>
      <w:r>
        <w:rPr>
          <w:w w:val="105"/>
        </w:rPr>
        <w:t>with FM reported experiencing significantly more pain, more depressive symptoms, and less engagement</w:t>
      </w:r>
      <w:r>
        <w:rPr>
          <w:spacing w:val="40"/>
          <w:w w:val="105"/>
        </w:rPr>
        <w:t> </w:t>
      </w:r>
      <w:r>
        <w:rPr>
          <w:w w:val="105"/>
        </w:rPr>
        <w:t>in leisure activities (specifically,</w:t>
      </w:r>
      <w:r>
        <w:rPr>
          <w:spacing w:val="-6"/>
          <w:w w:val="105"/>
        </w:rPr>
        <w:t> </w:t>
      </w:r>
      <w:r>
        <w:rPr>
          <w:w w:val="105"/>
        </w:rPr>
        <w:t>overall</w:t>
      </w:r>
      <w:r>
        <w:rPr>
          <w:spacing w:val="37"/>
          <w:w w:val="105"/>
        </w:rPr>
        <w:t> </w:t>
      </w:r>
      <w:r>
        <w:rPr>
          <w:w w:val="105"/>
        </w:rPr>
        <w:t>leisure activity and active leisure). The differences</w:t>
      </w:r>
      <w:r>
        <w:rPr>
          <w:spacing w:val="21"/>
          <w:w w:val="105"/>
        </w:rPr>
        <w:t> </w:t>
      </w:r>
      <w:r>
        <w:rPr>
          <w:w w:val="105"/>
        </w:rPr>
        <w:t>were still evident after controlling</w:t>
      </w:r>
      <w:r>
        <w:rPr>
          <w:spacing w:val="27"/>
          <w:w w:val="105"/>
        </w:rPr>
        <w:t> </w:t>
      </w:r>
      <w:r>
        <w:rPr>
          <w:w w:val="105"/>
        </w:rPr>
        <w:t>for age and</w:t>
      </w:r>
      <w:r>
        <w:rPr>
          <w:spacing w:val="29"/>
          <w:w w:val="105"/>
        </w:rPr>
        <w:t> </w:t>
      </w:r>
      <w:r>
        <w:rPr>
          <w:w w:val="105"/>
        </w:rPr>
        <w:t>gender. These results are in agreement with a previous line</w:t>
      </w:r>
      <w:r>
        <w:rPr>
          <w:spacing w:val="-6"/>
          <w:w w:val="105"/>
        </w:rPr>
        <w:t> </w:t>
      </w:r>
      <w:r>
        <w:rPr>
          <w:w w:val="105"/>
        </w:rPr>
        <w:t>of research that concluded that people diagnosed with FM are</w:t>
      </w:r>
      <w:r>
        <w:rPr>
          <w:spacing w:val="-5"/>
          <w:w w:val="105"/>
        </w:rPr>
        <w:t> </w:t>
      </w:r>
      <w:r>
        <w:rPr>
          <w:w w:val="105"/>
        </w:rPr>
        <w:t>affected</w:t>
      </w:r>
      <w:r>
        <w:rPr>
          <w:w w:val="105"/>
        </w:rPr>
        <w:t> in different areas of life, including social, emotional, and occupational areas, decreasing overall quality of life (Arnold et al., 2008; Bennett et al.,</w:t>
      </w:r>
      <w:r>
        <w:rPr>
          <w:spacing w:val="-1"/>
          <w:w w:val="105"/>
        </w:rPr>
        <w:t> </w:t>
      </w:r>
      <w:r>
        <w:rPr>
          <w:w w:val="105"/>
        </w:rPr>
        <w:t>2007; Skjutar et al., 20</w:t>
      </w:r>
      <w:r>
        <w:rPr>
          <w:spacing w:val="-9"/>
          <w:w w:val="105"/>
        </w:rPr>
        <w:t> </w:t>
      </w:r>
      <w:r>
        <w:rPr>
          <w:w w:val="105"/>
        </w:rPr>
        <w:t>l</w:t>
      </w:r>
      <w:r>
        <w:rPr>
          <w:spacing w:val="-13"/>
          <w:w w:val="105"/>
        </w:rPr>
        <w:t> </w:t>
      </w:r>
      <w:r>
        <w:rPr>
          <w:w w:val="105"/>
        </w:rPr>
        <w:t>0).</w:t>
      </w:r>
    </w:p>
    <w:p>
      <w:pPr>
        <w:pStyle w:val="BodyText"/>
        <w:spacing w:line="494" w:lineRule="auto" w:before="8"/>
        <w:ind w:left="525" w:right="212" w:firstLine="688"/>
      </w:pPr>
      <w:r>
        <w:rPr>
          <w:w w:val="105"/>
        </w:rPr>
        <w:t>The</w:t>
      </w:r>
      <w:r>
        <w:rPr>
          <w:spacing w:val="-3"/>
          <w:w w:val="105"/>
        </w:rPr>
        <w:t> </w:t>
      </w:r>
      <w:r>
        <w:rPr>
          <w:w w:val="105"/>
        </w:rPr>
        <w:t>first hypothesis of</w:t>
      </w:r>
      <w:r>
        <w:rPr>
          <w:spacing w:val="-15"/>
          <w:w w:val="105"/>
        </w:rPr>
        <w:t> </w:t>
      </w:r>
      <w:r>
        <w:rPr>
          <w:w w:val="105"/>
        </w:rPr>
        <w:t>the</w:t>
      </w:r>
      <w:r>
        <w:rPr>
          <w:spacing w:val="-10"/>
          <w:w w:val="105"/>
        </w:rPr>
        <w:t> </w:t>
      </w:r>
      <w:r>
        <w:rPr>
          <w:w w:val="105"/>
        </w:rPr>
        <w:t>study, which was</w:t>
      </w:r>
      <w:r>
        <w:rPr>
          <w:spacing w:val="-13"/>
          <w:w w:val="105"/>
        </w:rPr>
        <w:t> </w:t>
      </w:r>
      <w:r>
        <w:rPr>
          <w:w w:val="105"/>
        </w:rPr>
        <w:t>that being</w:t>
      </w:r>
      <w:r>
        <w:rPr>
          <w:spacing w:val="-6"/>
          <w:w w:val="105"/>
        </w:rPr>
        <w:t> </w:t>
      </w:r>
      <w:r>
        <w:rPr>
          <w:w w:val="105"/>
        </w:rPr>
        <w:t>diagnosed with FM would be associated</w:t>
      </w:r>
      <w:r>
        <w:rPr>
          <w:spacing w:val="37"/>
          <w:w w:val="105"/>
        </w:rPr>
        <w:t> </w:t>
      </w:r>
      <w:r>
        <w:rPr>
          <w:w w:val="105"/>
        </w:rPr>
        <w:t>with more severe chronic pain symptoms and depression and less engagement</w:t>
      </w:r>
      <w:r>
        <w:rPr>
          <w:w w:val="105"/>
        </w:rPr>
        <w:t> in leisure</w:t>
      </w:r>
      <w:r>
        <w:rPr>
          <w:spacing w:val="-3"/>
          <w:w w:val="105"/>
        </w:rPr>
        <w:t> </w:t>
      </w:r>
      <w:r>
        <w:rPr>
          <w:w w:val="105"/>
        </w:rPr>
        <w:t>activities, was</w:t>
      </w:r>
      <w:r>
        <w:rPr>
          <w:spacing w:val="-11"/>
          <w:w w:val="105"/>
        </w:rPr>
        <w:t> </w:t>
      </w:r>
      <w:r>
        <w:rPr>
          <w:w w:val="105"/>
        </w:rPr>
        <w:t>supported. Depressive symptoms were more</w:t>
      </w:r>
      <w:r>
        <w:rPr>
          <w:spacing w:val="-3"/>
          <w:w w:val="105"/>
        </w:rPr>
        <w:t> </w:t>
      </w:r>
      <w:r>
        <w:rPr>
          <w:w w:val="105"/>
        </w:rPr>
        <w:t>severe in people diagnosed</w:t>
      </w:r>
      <w:r>
        <w:rPr>
          <w:spacing w:val="31"/>
          <w:w w:val="105"/>
        </w:rPr>
        <w:t> </w:t>
      </w:r>
      <w:r>
        <w:rPr>
          <w:w w:val="105"/>
        </w:rPr>
        <w:t>with FM than in those without the diagnosis. This finding is consistent with previous research that concluded that comorbidity of FM and Axis I disorders (Major Depressive</w:t>
      </w:r>
      <w:r>
        <w:rPr>
          <w:spacing w:val="23"/>
          <w:w w:val="105"/>
        </w:rPr>
        <w:t> </w:t>
      </w:r>
      <w:r>
        <w:rPr>
          <w:w w:val="105"/>
        </w:rPr>
        <w:t>Disorder in particular) was 47.6 %, which was higher than in the</w:t>
      </w:r>
      <w:r>
        <w:rPr>
          <w:spacing w:val="-5"/>
          <w:w w:val="105"/>
        </w:rPr>
        <w:t> </w:t>
      </w:r>
      <w:r>
        <w:rPr>
          <w:w w:val="105"/>
        </w:rPr>
        <w:t>control</w:t>
      </w:r>
      <w:r>
        <w:rPr>
          <w:spacing w:val="18"/>
          <w:w w:val="105"/>
        </w:rPr>
        <w:t> </w:t>
      </w:r>
      <w:r>
        <w:rPr>
          <w:w w:val="105"/>
        </w:rPr>
        <w:t>group</w:t>
      </w:r>
      <w:r>
        <w:rPr>
          <w:spacing w:val="-3"/>
          <w:w w:val="105"/>
        </w:rPr>
        <w:t> </w:t>
      </w:r>
      <w:r>
        <w:rPr>
          <w:w w:val="105"/>
        </w:rPr>
        <w:t>or in the general</w:t>
      </w:r>
      <w:r>
        <w:rPr>
          <w:spacing w:val="24"/>
          <w:w w:val="105"/>
        </w:rPr>
        <w:t> </w:t>
      </w:r>
      <w:r>
        <w:rPr>
          <w:w w:val="105"/>
        </w:rPr>
        <w:t>population</w:t>
      </w:r>
      <w:r>
        <w:rPr>
          <w:spacing w:val="29"/>
          <w:w w:val="105"/>
        </w:rPr>
        <w:t> </w:t>
      </w:r>
      <w:r>
        <w:rPr>
          <w:w w:val="105"/>
        </w:rPr>
        <w:t>(Uguz et al., 20</w:t>
      </w:r>
      <w:r>
        <w:rPr>
          <w:spacing w:val="-27"/>
          <w:w w:val="105"/>
        </w:rPr>
        <w:t> </w:t>
      </w:r>
      <w:r>
        <w:rPr>
          <w:w w:val="105"/>
        </w:rPr>
        <w:t>l</w:t>
      </w:r>
      <w:r>
        <w:rPr>
          <w:spacing w:val="-31"/>
          <w:w w:val="105"/>
        </w:rPr>
        <w:t> </w:t>
      </w:r>
      <w:r>
        <w:rPr>
          <w:w w:val="105"/>
        </w:rPr>
        <w:t>0). In addition,</w:t>
      </w:r>
      <w:r>
        <w:rPr>
          <w:spacing w:val="24"/>
          <w:w w:val="105"/>
        </w:rPr>
        <w:t> </w:t>
      </w:r>
      <w:r>
        <w:rPr>
          <w:w w:val="105"/>
        </w:rPr>
        <w:t>people in our FM group</w:t>
      </w:r>
      <w:r>
        <w:rPr>
          <w:spacing w:val="-1"/>
          <w:w w:val="105"/>
        </w:rPr>
        <w:t> </w:t>
      </w:r>
      <w:r>
        <w:rPr>
          <w:w w:val="105"/>
        </w:rPr>
        <w:t>engaged</w:t>
      </w:r>
      <w:r>
        <w:rPr>
          <w:spacing w:val="34"/>
          <w:w w:val="105"/>
        </w:rPr>
        <w:t> </w:t>
      </w:r>
      <w:r>
        <w:rPr>
          <w:w w:val="105"/>
        </w:rPr>
        <w:t>less in leisure activities. More specifically, there was a</w:t>
      </w:r>
    </w:p>
    <w:p>
      <w:pPr>
        <w:spacing w:after="0" w:line="494" w:lineRule="auto"/>
        <w:sectPr>
          <w:headerReference w:type="default" r:id="rId39"/>
          <w:pgSz w:w="12510" w:h="15770"/>
          <w:pgMar w:header="1039" w:footer="0" w:top="1880" w:bottom="280" w:left="1760" w:right="1760"/>
        </w:sectPr>
      </w:pPr>
    </w:p>
    <w:p>
      <w:pPr>
        <w:pStyle w:val="BodyText"/>
        <w:spacing w:line="496" w:lineRule="auto" w:before="81"/>
        <w:ind w:left="462" w:right="166" w:firstLine="2"/>
      </w:pPr>
      <w:r>
        <w:rPr/>
        <w:t>significant</w:t>
      </w:r>
      <w:r>
        <w:rPr>
          <w:spacing w:val="40"/>
        </w:rPr>
        <w:t> </w:t>
      </w:r>
      <w:r>
        <w:rPr/>
        <w:t>association</w:t>
      </w:r>
      <w:r>
        <w:rPr>
          <w:spacing w:val="40"/>
        </w:rPr>
        <w:t> </w:t>
      </w:r>
      <w:r>
        <w:rPr/>
        <w:t>between</w:t>
      </w:r>
      <w:r>
        <w:rPr>
          <w:spacing w:val="36"/>
        </w:rPr>
        <w:t> </w:t>
      </w:r>
      <w:r>
        <w:rPr/>
        <w:t>overall</w:t>
      </w:r>
      <w:r>
        <w:rPr>
          <w:spacing w:val="40"/>
        </w:rPr>
        <w:t> </w:t>
      </w:r>
      <w:r>
        <w:rPr/>
        <w:t>and</w:t>
      </w:r>
      <w:r>
        <w:rPr>
          <w:spacing w:val="32"/>
        </w:rPr>
        <w:t> </w:t>
      </w:r>
      <w:r>
        <w:rPr/>
        <w:t>active</w:t>
      </w:r>
      <w:r>
        <w:rPr>
          <w:spacing w:val="36"/>
        </w:rPr>
        <w:t> </w:t>
      </w:r>
      <w:r>
        <w:rPr/>
        <w:t>leisure activities and</w:t>
      </w:r>
      <w:r>
        <w:rPr>
          <w:spacing w:val="40"/>
        </w:rPr>
        <w:t> </w:t>
      </w:r>
      <w:r>
        <w:rPr/>
        <w:t>FM</w:t>
      </w:r>
      <w:r>
        <w:rPr>
          <w:spacing w:val="32"/>
        </w:rPr>
        <w:t> </w:t>
      </w:r>
      <w:r>
        <w:rPr/>
        <w:t>status,</w:t>
      </w:r>
      <w:r>
        <w:rPr>
          <w:spacing w:val="40"/>
        </w:rPr>
        <w:t> </w:t>
      </w:r>
      <w:r>
        <w:rPr/>
        <w:t>but</w:t>
      </w:r>
      <w:r>
        <w:rPr>
          <w:spacing w:val="40"/>
        </w:rPr>
        <w:t> </w:t>
      </w:r>
      <w:r>
        <w:rPr/>
        <w:t>not between</w:t>
      </w:r>
      <w:r>
        <w:rPr>
          <w:spacing w:val="40"/>
        </w:rPr>
        <w:t> </w:t>
      </w:r>
      <w:r>
        <w:rPr/>
        <w:t>passive</w:t>
      </w:r>
      <w:r>
        <w:rPr>
          <w:spacing w:val="40"/>
        </w:rPr>
        <w:t> </w:t>
      </w:r>
      <w:r>
        <w:rPr/>
        <w:t>leisure</w:t>
      </w:r>
      <w:r>
        <w:rPr>
          <w:spacing w:val="40"/>
        </w:rPr>
        <w:t> </w:t>
      </w:r>
      <w:r>
        <w:rPr/>
        <w:t>activities</w:t>
      </w:r>
      <w:r>
        <w:rPr>
          <w:spacing w:val="40"/>
        </w:rPr>
        <w:t> </w:t>
      </w:r>
      <w:r>
        <w:rPr/>
        <w:t>and</w:t>
      </w:r>
      <w:r>
        <w:rPr>
          <w:spacing w:val="40"/>
        </w:rPr>
        <w:t> </w:t>
      </w:r>
      <w:r>
        <w:rPr/>
        <w:t>FM</w:t>
      </w:r>
      <w:r>
        <w:rPr>
          <w:spacing w:val="40"/>
        </w:rPr>
        <w:t> </w:t>
      </w:r>
      <w:r>
        <w:rPr/>
        <w:t>status.</w:t>
      </w:r>
      <w:r>
        <w:rPr>
          <w:spacing w:val="39"/>
        </w:rPr>
        <w:t> </w:t>
      </w:r>
      <w:r>
        <w:rPr/>
        <w:t>These</w:t>
      </w:r>
      <w:r>
        <w:rPr>
          <w:spacing w:val="40"/>
        </w:rPr>
        <w:t> </w:t>
      </w:r>
      <w:r>
        <w:rPr/>
        <w:t>findings</w:t>
      </w:r>
      <w:r>
        <w:rPr>
          <w:spacing w:val="37"/>
        </w:rPr>
        <w:t> </w:t>
      </w:r>
      <w:r>
        <w:rPr/>
        <w:t>are consistent</w:t>
      </w:r>
      <w:r>
        <w:rPr>
          <w:spacing w:val="40"/>
        </w:rPr>
        <w:t> </w:t>
      </w:r>
      <w:r>
        <w:rPr/>
        <w:t>with previous</w:t>
      </w:r>
      <w:r>
        <w:rPr>
          <w:spacing w:val="40"/>
        </w:rPr>
        <w:t> </w:t>
      </w:r>
      <w:r>
        <w:rPr/>
        <w:t>research</w:t>
      </w:r>
      <w:r>
        <w:rPr>
          <w:spacing w:val="40"/>
        </w:rPr>
        <w:t> </w:t>
      </w:r>
      <w:r>
        <w:rPr/>
        <w:t>conducted</w:t>
      </w:r>
      <w:r>
        <w:rPr>
          <w:spacing w:val="40"/>
        </w:rPr>
        <w:t> </w:t>
      </w:r>
      <w:r>
        <w:rPr/>
        <w:t>by</w:t>
      </w:r>
      <w:r>
        <w:rPr>
          <w:spacing w:val="40"/>
        </w:rPr>
        <w:t> </w:t>
      </w:r>
      <w:r>
        <w:rPr/>
        <w:t>Bernard</w:t>
      </w:r>
      <w:r>
        <w:rPr>
          <w:spacing w:val="40"/>
        </w:rPr>
        <w:t> </w:t>
      </w:r>
      <w:r>
        <w:rPr/>
        <w:t>and</w:t>
      </w:r>
      <w:r>
        <w:rPr>
          <w:spacing w:val="37"/>
        </w:rPr>
        <w:t> </w:t>
      </w:r>
      <w:r>
        <w:rPr/>
        <w:t>colleagues</w:t>
      </w:r>
      <w:r>
        <w:rPr>
          <w:spacing w:val="40"/>
        </w:rPr>
        <w:t> </w:t>
      </w:r>
      <w:r>
        <w:rPr/>
        <w:t>(2000),</w:t>
      </w:r>
      <w:r>
        <w:rPr>
          <w:spacing w:val="40"/>
        </w:rPr>
        <w:t> </w:t>
      </w:r>
      <w:r>
        <w:rPr/>
        <w:t>who found</w:t>
      </w:r>
      <w:r>
        <w:rPr>
          <w:spacing w:val="40"/>
        </w:rPr>
        <w:t> </w:t>
      </w:r>
      <w:r>
        <w:rPr/>
        <w:t>that</w:t>
      </w:r>
      <w:r>
        <w:rPr>
          <w:spacing w:val="40"/>
        </w:rPr>
        <w:t> </w:t>
      </w:r>
      <w:r>
        <w:rPr/>
        <w:t>people experience</w:t>
      </w:r>
      <w:r>
        <w:rPr>
          <w:spacing w:val="40"/>
        </w:rPr>
        <w:t> </w:t>
      </w:r>
      <w:r>
        <w:rPr/>
        <w:t>reduction</w:t>
      </w:r>
      <w:r>
        <w:rPr>
          <w:spacing w:val="40"/>
        </w:rPr>
        <w:t> </w:t>
      </w:r>
      <w:r>
        <w:rPr/>
        <w:t>in</w:t>
      </w:r>
      <w:r>
        <w:rPr>
          <w:spacing w:val="40"/>
        </w:rPr>
        <w:t> </w:t>
      </w:r>
      <w:r>
        <w:rPr/>
        <w:t>enjoyable</w:t>
      </w:r>
      <w:r>
        <w:rPr>
          <w:spacing w:val="40"/>
        </w:rPr>
        <w:t> </w:t>
      </w:r>
      <w:r>
        <w:rPr/>
        <w:t>activities</w:t>
      </w:r>
      <w:r>
        <w:rPr>
          <w:spacing w:val="40"/>
        </w:rPr>
        <w:t> </w:t>
      </w:r>
      <w:r>
        <w:rPr/>
        <w:t>following</w:t>
      </w:r>
      <w:r>
        <w:rPr>
          <w:spacing w:val="40"/>
        </w:rPr>
        <w:t> </w:t>
      </w:r>
      <w:r>
        <w:rPr/>
        <w:t>a diagnosis</w:t>
      </w:r>
      <w:r>
        <w:rPr>
          <w:spacing w:val="40"/>
        </w:rPr>
        <w:t> </w:t>
      </w:r>
      <w:r>
        <w:rPr/>
        <w:t>of</w:t>
      </w:r>
      <w:r>
        <w:rPr>
          <w:spacing w:val="40"/>
        </w:rPr>
        <w:t> </w:t>
      </w:r>
      <w:r>
        <w:rPr/>
        <w:t>FM.</w:t>
      </w:r>
      <w:r>
        <w:rPr>
          <w:spacing w:val="40"/>
        </w:rPr>
        <w:t> </w:t>
      </w:r>
      <w:r>
        <w:rPr/>
        <w:t>However,</w:t>
      </w:r>
      <w:r>
        <w:rPr>
          <w:spacing w:val="40"/>
        </w:rPr>
        <w:t> </w:t>
      </w:r>
      <w:r>
        <w:rPr/>
        <w:t>the current</w:t>
      </w:r>
      <w:r>
        <w:rPr>
          <w:spacing w:val="40"/>
        </w:rPr>
        <w:t> </w:t>
      </w:r>
      <w:r>
        <w:rPr/>
        <w:t>study</w:t>
      </w:r>
      <w:r>
        <w:rPr>
          <w:spacing w:val="40"/>
        </w:rPr>
        <w:t> </w:t>
      </w:r>
      <w:r>
        <w:rPr/>
        <w:t>is</w:t>
      </w:r>
      <w:r>
        <w:rPr>
          <w:spacing w:val="27"/>
        </w:rPr>
        <w:t> </w:t>
      </w:r>
      <w:r>
        <w:rPr/>
        <w:t>the</w:t>
      </w:r>
      <w:r>
        <w:rPr>
          <w:spacing w:val="38"/>
        </w:rPr>
        <w:t> </w:t>
      </w:r>
      <w:r>
        <w:rPr/>
        <w:t>first</w:t>
      </w:r>
      <w:r>
        <w:rPr>
          <w:spacing w:val="40"/>
        </w:rPr>
        <w:t> </w:t>
      </w:r>
      <w:r>
        <w:rPr/>
        <w:t>known</w:t>
      </w:r>
      <w:r>
        <w:rPr>
          <w:spacing w:val="65"/>
        </w:rPr>
        <w:t> </w:t>
      </w:r>
      <w:r>
        <w:rPr/>
        <w:t>investigation</w:t>
      </w:r>
      <w:r>
        <w:rPr>
          <w:spacing w:val="80"/>
        </w:rPr>
        <w:t> </w:t>
      </w:r>
      <w:r>
        <w:rPr/>
        <w:t>into</w:t>
      </w:r>
      <w:r>
        <w:rPr>
          <w:spacing w:val="33"/>
        </w:rPr>
        <w:t> </w:t>
      </w:r>
      <w:r>
        <w:rPr/>
        <w:t>the</w:t>
      </w:r>
      <w:r>
        <w:rPr>
          <w:spacing w:val="27"/>
        </w:rPr>
        <w:t> </w:t>
      </w:r>
      <w:r>
        <w:rPr/>
        <w:t>subgroups</w:t>
      </w:r>
      <w:r>
        <w:rPr>
          <w:spacing w:val="31"/>
        </w:rPr>
        <w:t> </w:t>
      </w:r>
      <w:r>
        <w:rPr/>
        <w:t>of</w:t>
      </w:r>
      <w:r>
        <w:rPr>
          <w:spacing w:val="33"/>
        </w:rPr>
        <w:t> </w:t>
      </w:r>
      <w:r>
        <w:rPr/>
        <w:t>leisure</w:t>
      </w:r>
      <w:r>
        <w:rPr>
          <w:spacing w:val="34"/>
        </w:rPr>
        <w:t> </w:t>
      </w:r>
      <w:r>
        <w:rPr/>
        <w:t>activities</w:t>
      </w:r>
      <w:r>
        <w:rPr>
          <w:spacing w:val="40"/>
        </w:rPr>
        <w:t> </w:t>
      </w:r>
      <w:r>
        <w:rPr/>
        <w:t>in</w:t>
      </w:r>
      <w:r>
        <w:rPr/>
        <w:t> FM population.</w:t>
      </w:r>
    </w:p>
    <w:p>
      <w:pPr>
        <w:pStyle w:val="BodyText"/>
        <w:spacing w:line="494" w:lineRule="auto" w:before="1"/>
        <w:ind w:left="467" w:right="166" w:firstLine="688"/>
      </w:pPr>
      <w:r>
        <w:rPr>
          <w:w w:val="105"/>
        </w:rPr>
        <w:t>The second hypothesis was</w:t>
      </w:r>
      <w:r>
        <w:rPr>
          <w:spacing w:val="-2"/>
          <w:w w:val="105"/>
        </w:rPr>
        <w:t> </w:t>
      </w:r>
      <w:r>
        <w:rPr>
          <w:w w:val="105"/>
        </w:rPr>
        <w:t>that less engagement</w:t>
      </w:r>
      <w:r>
        <w:rPr>
          <w:spacing w:val="35"/>
          <w:w w:val="105"/>
        </w:rPr>
        <w:t> </w:t>
      </w:r>
      <w:r>
        <w:rPr>
          <w:w w:val="105"/>
        </w:rPr>
        <w:t>in leisure activities would</w:t>
      </w:r>
      <w:r>
        <w:rPr>
          <w:w w:val="105"/>
        </w:rPr>
        <w:t> be correlated</w:t>
      </w:r>
      <w:r>
        <w:rPr>
          <w:w w:val="105"/>
        </w:rPr>
        <w:t> with more depressive symptoms. The current study examined associations between three types of leisure activities (overall, active, and passive) and depressive symptoms. All three regression</w:t>
      </w:r>
      <w:r>
        <w:rPr>
          <w:spacing w:val="27"/>
          <w:w w:val="105"/>
        </w:rPr>
        <w:t> </w:t>
      </w:r>
      <w:r>
        <w:rPr>
          <w:w w:val="105"/>
        </w:rPr>
        <w:t>models performed</w:t>
      </w:r>
      <w:r>
        <w:rPr>
          <w:spacing w:val="26"/>
          <w:w w:val="105"/>
        </w:rPr>
        <w:t> </w:t>
      </w:r>
      <w:r>
        <w:rPr>
          <w:w w:val="105"/>
        </w:rPr>
        <w:t>in the</w:t>
      </w:r>
      <w:r>
        <w:rPr>
          <w:spacing w:val="-10"/>
          <w:w w:val="105"/>
        </w:rPr>
        <w:t> </w:t>
      </w:r>
      <w:r>
        <w:rPr>
          <w:w w:val="105"/>
        </w:rPr>
        <w:t>current study explained a high amount of variance in the depressive symptoms. Specifically, the regression</w:t>
      </w:r>
      <w:r>
        <w:rPr>
          <w:spacing w:val="40"/>
          <w:w w:val="105"/>
        </w:rPr>
        <w:t> </w:t>
      </w:r>
      <w:r>
        <w:rPr>
          <w:w w:val="105"/>
        </w:rPr>
        <w:t>models including FM status and overall, active, and passive leisure</w:t>
      </w:r>
      <w:r>
        <w:rPr>
          <w:spacing w:val="-3"/>
          <w:w w:val="105"/>
        </w:rPr>
        <w:t> </w:t>
      </w:r>
      <w:r>
        <w:rPr>
          <w:w w:val="105"/>
        </w:rPr>
        <w:t>explained</w:t>
      </w:r>
      <w:r>
        <w:rPr>
          <w:w w:val="105"/>
        </w:rPr>
        <w:t> 45.3%, 47%,</w:t>
      </w:r>
      <w:r>
        <w:rPr>
          <w:spacing w:val="-8"/>
          <w:w w:val="105"/>
        </w:rPr>
        <w:t> </w:t>
      </w:r>
      <w:r>
        <w:rPr>
          <w:w w:val="105"/>
        </w:rPr>
        <w:t>and 45.6%</w:t>
      </w:r>
      <w:r>
        <w:rPr>
          <w:spacing w:val="-6"/>
          <w:w w:val="105"/>
        </w:rPr>
        <w:t> </w:t>
      </w:r>
      <w:r>
        <w:rPr>
          <w:w w:val="105"/>
        </w:rPr>
        <w:t>of</w:t>
      </w:r>
      <w:r>
        <w:rPr>
          <w:spacing w:val="-6"/>
          <w:w w:val="105"/>
        </w:rPr>
        <w:t> </w:t>
      </w:r>
      <w:r>
        <w:rPr>
          <w:w w:val="105"/>
        </w:rPr>
        <w:t>the variance in depression, respectively. In addition,</w:t>
      </w:r>
      <w:r>
        <w:rPr>
          <w:w w:val="105"/>
        </w:rPr>
        <w:t> independent</w:t>
      </w:r>
      <w:r>
        <w:rPr>
          <w:spacing w:val="23"/>
          <w:w w:val="105"/>
        </w:rPr>
        <w:t> </w:t>
      </w:r>
      <w:r>
        <w:rPr>
          <w:w w:val="105"/>
        </w:rPr>
        <w:t>effects</w:t>
      </w:r>
      <w:r>
        <w:rPr>
          <w:spacing w:val="-2"/>
          <w:w w:val="105"/>
        </w:rPr>
        <w:t> </w:t>
      </w:r>
      <w:r>
        <w:rPr>
          <w:w w:val="105"/>
        </w:rPr>
        <w:t>were found for</w:t>
      </w:r>
      <w:r>
        <w:rPr>
          <w:spacing w:val="-2"/>
          <w:w w:val="105"/>
        </w:rPr>
        <w:t> </w:t>
      </w:r>
      <w:r>
        <w:rPr>
          <w:w w:val="105"/>
        </w:rPr>
        <w:t>FM</w:t>
      </w:r>
      <w:r>
        <w:rPr>
          <w:spacing w:val="-4"/>
          <w:w w:val="105"/>
        </w:rPr>
        <w:t> </w:t>
      </w:r>
      <w:r>
        <w:rPr>
          <w:w w:val="105"/>
        </w:rPr>
        <w:t>status</w:t>
      </w:r>
      <w:r>
        <w:rPr>
          <w:spacing w:val="-8"/>
          <w:w w:val="105"/>
        </w:rPr>
        <w:t> </w:t>
      </w:r>
      <w:r>
        <w:rPr>
          <w:w w:val="105"/>
        </w:rPr>
        <w:t>and active leisure</w:t>
      </w:r>
      <w:r>
        <w:rPr>
          <w:spacing w:val="-3"/>
          <w:w w:val="105"/>
        </w:rPr>
        <w:t> </w:t>
      </w:r>
      <w:r>
        <w:rPr>
          <w:w w:val="105"/>
        </w:rPr>
        <w:t>activity.</w:t>
      </w:r>
      <w:r>
        <w:rPr>
          <w:spacing w:val="-2"/>
          <w:w w:val="105"/>
        </w:rPr>
        <w:t> </w:t>
      </w:r>
      <w:r>
        <w:rPr>
          <w:w w:val="105"/>
        </w:rPr>
        <w:t>This is</w:t>
      </w:r>
      <w:r>
        <w:rPr>
          <w:spacing w:val="-11"/>
          <w:w w:val="105"/>
        </w:rPr>
        <w:t> </w:t>
      </w:r>
      <w:r>
        <w:rPr>
          <w:w w:val="105"/>
        </w:rPr>
        <w:t>consistent</w:t>
      </w:r>
      <w:r>
        <w:rPr>
          <w:w w:val="105"/>
        </w:rPr>
        <w:t> with</w:t>
      </w:r>
      <w:r>
        <w:rPr>
          <w:spacing w:val="20"/>
          <w:w w:val="105"/>
        </w:rPr>
        <w:t> </w:t>
      </w:r>
      <w:r>
        <w:rPr>
          <w:w w:val="105"/>
        </w:rPr>
        <w:t>previous research conducted</w:t>
      </w:r>
      <w:r>
        <w:rPr>
          <w:spacing w:val="19"/>
          <w:w w:val="105"/>
        </w:rPr>
        <w:t> </w:t>
      </w:r>
      <w:r>
        <w:rPr>
          <w:w w:val="105"/>
        </w:rPr>
        <w:t>by</w:t>
      </w:r>
      <w:r>
        <w:rPr>
          <w:spacing w:val="-1"/>
          <w:w w:val="105"/>
        </w:rPr>
        <w:t> </w:t>
      </w:r>
      <w:r>
        <w:rPr>
          <w:w w:val="105"/>
        </w:rPr>
        <w:t>Palomino and colleagues</w:t>
      </w:r>
      <w:r>
        <w:rPr>
          <w:spacing w:val="-2"/>
          <w:w w:val="105"/>
        </w:rPr>
        <w:t> </w:t>
      </w:r>
      <w:r>
        <w:rPr>
          <w:w w:val="105"/>
        </w:rPr>
        <w:t>(2007), who</w:t>
      </w:r>
      <w:r>
        <w:rPr>
          <w:spacing w:val="-5"/>
          <w:w w:val="105"/>
        </w:rPr>
        <w:t> </w:t>
      </w:r>
      <w:r>
        <w:rPr>
          <w:w w:val="105"/>
        </w:rPr>
        <w:t>found a</w:t>
      </w:r>
      <w:r>
        <w:rPr>
          <w:spacing w:val="-10"/>
          <w:w w:val="105"/>
        </w:rPr>
        <w:t> </w:t>
      </w:r>
      <w:r>
        <w:rPr>
          <w:w w:val="105"/>
        </w:rPr>
        <w:t>correlation</w:t>
      </w:r>
      <w:r>
        <w:rPr>
          <w:spacing w:val="17"/>
          <w:w w:val="105"/>
        </w:rPr>
        <w:t> </w:t>
      </w:r>
      <w:r>
        <w:rPr>
          <w:w w:val="105"/>
        </w:rPr>
        <w:t>between</w:t>
      </w:r>
      <w:r>
        <w:rPr>
          <w:w w:val="105"/>
        </w:rPr>
        <w:t> leisure activities and depressive symptoms in persons with</w:t>
      </w:r>
      <w:r>
        <w:rPr>
          <w:w w:val="105"/>
        </w:rPr>
        <w:t> FM.</w:t>
      </w:r>
    </w:p>
    <w:p>
      <w:pPr>
        <w:pStyle w:val="BodyText"/>
        <w:spacing w:line="494" w:lineRule="auto" w:before="3"/>
        <w:ind w:left="477" w:firstLine="688"/>
      </w:pPr>
      <w:r>
        <w:rPr>
          <w:w w:val="105"/>
        </w:rPr>
        <w:t>The results of</w:t>
      </w:r>
      <w:r>
        <w:rPr>
          <w:spacing w:val="-6"/>
          <w:w w:val="105"/>
        </w:rPr>
        <w:t> </w:t>
      </w:r>
      <w:r>
        <w:rPr>
          <w:w w:val="105"/>
        </w:rPr>
        <w:t>these analyses support an association</w:t>
      </w:r>
      <w:r>
        <w:rPr>
          <w:spacing w:val="26"/>
          <w:w w:val="105"/>
        </w:rPr>
        <w:t> </w:t>
      </w:r>
      <w:r>
        <w:rPr>
          <w:w w:val="105"/>
        </w:rPr>
        <w:t>between</w:t>
      </w:r>
      <w:r>
        <w:rPr>
          <w:spacing w:val="29"/>
          <w:w w:val="105"/>
        </w:rPr>
        <w:t> </w:t>
      </w:r>
      <w:r>
        <w:rPr>
          <w:w w:val="105"/>
        </w:rPr>
        <w:t>leisure activities and depressive symptoms in participants with FM.</w:t>
      </w:r>
      <w:r>
        <w:rPr>
          <w:spacing w:val="-7"/>
          <w:w w:val="105"/>
        </w:rPr>
        <w:t> </w:t>
      </w:r>
      <w:r>
        <w:rPr>
          <w:w w:val="105"/>
        </w:rPr>
        <w:t>These findings also display differentiation between active and passive type of leisure activity. Specifically, the relationship</w:t>
      </w:r>
      <w:r>
        <w:rPr>
          <w:w w:val="105"/>
        </w:rPr>
        <w:t> between leisure</w:t>
      </w:r>
      <w:r>
        <w:rPr>
          <w:spacing w:val="-4"/>
          <w:w w:val="105"/>
        </w:rPr>
        <w:t> </w:t>
      </w:r>
      <w:r>
        <w:rPr>
          <w:w w:val="105"/>
        </w:rPr>
        <w:t>activity and depression seems</w:t>
      </w:r>
      <w:r>
        <w:rPr>
          <w:spacing w:val="-4"/>
          <w:w w:val="105"/>
        </w:rPr>
        <w:t> </w:t>
      </w:r>
      <w:r>
        <w:rPr>
          <w:w w:val="105"/>
        </w:rPr>
        <w:t>to</w:t>
      </w:r>
      <w:r>
        <w:rPr>
          <w:spacing w:val="-1"/>
          <w:w w:val="105"/>
        </w:rPr>
        <w:t> </w:t>
      </w:r>
      <w:r>
        <w:rPr>
          <w:w w:val="105"/>
        </w:rPr>
        <w:t>be</w:t>
      </w:r>
      <w:r>
        <w:rPr>
          <w:spacing w:val="-6"/>
          <w:w w:val="105"/>
        </w:rPr>
        <w:t> </w:t>
      </w:r>
      <w:r>
        <w:rPr>
          <w:w w:val="105"/>
        </w:rPr>
        <w:t>driven by</w:t>
      </w:r>
      <w:r>
        <w:rPr>
          <w:spacing w:val="-1"/>
          <w:w w:val="105"/>
        </w:rPr>
        <w:t> </w:t>
      </w:r>
      <w:r>
        <w:rPr>
          <w:w w:val="105"/>
        </w:rPr>
        <w:t>active leisure</w:t>
      </w:r>
      <w:r>
        <w:rPr>
          <w:spacing w:val="-1"/>
          <w:w w:val="105"/>
        </w:rPr>
        <w:t> </w:t>
      </w:r>
      <w:r>
        <w:rPr>
          <w:w w:val="105"/>
        </w:rPr>
        <w:t>activity, as</w:t>
      </w:r>
      <w:r>
        <w:rPr>
          <w:spacing w:val="-10"/>
          <w:w w:val="105"/>
        </w:rPr>
        <w:t> </w:t>
      </w:r>
      <w:r>
        <w:rPr>
          <w:w w:val="105"/>
        </w:rPr>
        <w:t>opposed to passive leisure. This is in line with research done by Joudrey and Wallace (2009), who found that only non-passive</w:t>
      </w:r>
      <w:r>
        <w:rPr>
          <w:w w:val="105"/>
        </w:rPr>
        <w:t> leisure activity plays a role in improving well-being and decreasing depressive symptoms among a sample of law firm</w:t>
      </w:r>
      <w:r>
        <w:rPr>
          <w:w w:val="105"/>
        </w:rPr>
        <w:t> lawyers.</w:t>
      </w:r>
    </w:p>
    <w:p>
      <w:pPr>
        <w:spacing w:after="0" w:line="494" w:lineRule="auto"/>
        <w:sectPr>
          <w:headerReference w:type="default" r:id="rId40"/>
          <w:pgSz w:w="12450" w:h="15750"/>
          <w:pgMar w:header="1044" w:footer="0" w:top="1620" w:bottom="280" w:left="1760" w:right="1740"/>
        </w:sectPr>
      </w:pPr>
    </w:p>
    <w:p>
      <w:pPr>
        <w:pStyle w:val="BodyText"/>
        <w:spacing w:line="496" w:lineRule="auto" w:before="81"/>
        <w:ind w:left="448" w:right="296" w:firstLine="693"/>
      </w:pPr>
      <w:r>
        <w:rPr>
          <w:w w:val="105"/>
        </w:rPr>
        <w:t>The third</w:t>
      </w:r>
      <w:r>
        <w:rPr>
          <w:w w:val="105"/>
        </w:rPr>
        <w:t> hypothesis of the study was that the inability to participate</w:t>
      </w:r>
      <w:r>
        <w:rPr>
          <w:w w:val="105"/>
        </w:rPr>
        <w:t> in leisure activities</w:t>
      </w:r>
      <w:r>
        <w:rPr>
          <w:spacing w:val="-8"/>
          <w:w w:val="105"/>
        </w:rPr>
        <w:t> </w:t>
      </w:r>
      <w:r>
        <w:rPr>
          <w:w w:val="105"/>
        </w:rPr>
        <w:t>at Wave 1</w:t>
      </w:r>
      <w:r>
        <w:rPr>
          <w:w w:val="105"/>
        </w:rPr>
        <w:t> would</w:t>
      </w:r>
      <w:r>
        <w:rPr>
          <w:w w:val="105"/>
        </w:rPr>
        <w:t> predict</w:t>
      </w:r>
      <w:r>
        <w:rPr>
          <w:w w:val="105"/>
        </w:rPr>
        <w:t> higher</w:t>
      </w:r>
      <w:r>
        <w:rPr>
          <w:spacing w:val="-4"/>
          <w:w w:val="105"/>
        </w:rPr>
        <w:t> </w:t>
      </w:r>
      <w:r>
        <w:rPr>
          <w:w w:val="105"/>
        </w:rPr>
        <w:t>depressive symptoms at Wave</w:t>
      </w:r>
      <w:r>
        <w:rPr>
          <w:spacing w:val="-3"/>
          <w:w w:val="105"/>
        </w:rPr>
        <w:t> </w:t>
      </w:r>
      <w:r>
        <w:rPr>
          <w:w w:val="105"/>
        </w:rPr>
        <w:t>2</w:t>
      </w:r>
      <w:r>
        <w:rPr>
          <w:spacing w:val="-8"/>
          <w:w w:val="105"/>
        </w:rPr>
        <w:t> </w:t>
      </w:r>
      <w:r>
        <w:rPr>
          <w:w w:val="105"/>
        </w:rPr>
        <w:t>(2 years later) among persons with and without FM.</w:t>
      </w:r>
      <w:r>
        <w:rPr>
          <w:spacing w:val="-5"/>
          <w:w w:val="105"/>
        </w:rPr>
        <w:t> </w:t>
      </w:r>
      <w:r>
        <w:rPr>
          <w:w w:val="105"/>
        </w:rPr>
        <w:t>This hypothesis was</w:t>
      </w:r>
      <w:r>
        <w:rPr>
          <w:spacing w:val="-1"/>
          <w:w w:val="105"/>
        </w:rPr>
        <w:t> </w:t>
      </w:r>
      <w:r>
        <w:rPr>
          <w:w w:val="105"/>
        </w:rPr>
        <w:t>not supported.</w:t>
      </w:r>
      <w:r>
        <w:rPr>
          <w:spacing w:val="-6"/>
          <w:w w:val="105"/>
        </w:rPr>
        <w:t> </w:t>
      </w:r>
      <w:r>
        <w:rPr>
          <w:w w:val="105"/>
        </w:rPr>
        <w:t>There were no associations</w:t>
      </w:r>
      <w:r>
        <w:rPr>
          <w:w w:val="105"/>
        </w:rPr>
        <w:t> between engagement</w:t>
      </w:r>
      <w:r>
        <w:rPr>
          <w:w w:val="105"/>
        </w:rPr>
        <w:t> in leisure activities</w:t>
      </w:r>
      <w:r>
        <w:rPr>
          <w:w w:val="105"/>
        </w:rPr>
        <w:t> in Wave</w:t>
      </w:r>
      <w:r>
        <w:rPr>
          <w:w w:val="105"/>
        </w:rPr>
        <w:t> l</w:t>
      </w:r>
      <w:r>
        <w:rPr>
          <w:w w:val="105"/>
        </w:rPr>
        <w:t> and depressive</w:t>
      </w:r>
      <w:r>
        <w:rPr>
          <w:spacing w:val="40"/>
          <w:w w:val="105"/>
        </w:rPr>
        <w:t> </w:t>
      </w:r>
      <w:r>
        <w:rPr>
          <w:w w:val="105"/>
        </w:rPr>
        <w:t>symptoms in Wave 2. There are</w:t>
      </w:r>
      <w:r>
        <w:rPr>
          <w:spacing w:val="-5"/>
          <w:w w:val="105"/>
        </w:rPr>
        <w:t> </w:t>
      </w:r>
      <w:r>
        <w:rPr>
          <w:w w:val="105"/>
        </w:rPr>
        <w:t>some possible theoretical explanations as to why no association was found</w:t>
      </w:r>
      <w:r>
        <w:rPr>
          <w:w w:val="105"/>
        </w:rPr>
        <w:t> between these two variables. First, there were perhaps other mediating variables that were not taken into account that affected the results. For instance, in a</w:t>
      </w:r>
      <w:r>
        <w:rPr>
          <w:w w:val="105"/>
        </w:rPr>
        <w:t> research study conducted</w:t>
      </w:r>
      <w:r>
        <w:rPr>
          <w:spacing w:val="32"/>
          <w:w w:val="105"/>
        </w:rPr>
        <w:t> </w:t>
      </w:r>
      <w:r>
        <w:rPr>
          <w:w w:val="105"/>
        </w:rPr>
        <w:t>by Elliott and Shewchuk (1995), there was an</w:t>
      </w:r>
    </w:p>
    <w:p>
      <w:pPr>
        <w:pStyle w:val="BodyText"/>
        <w:spacing w:line="494" w:lineRule="auto"/>
        <w:ind w:left="453" w:right="136"/>
      </w:pPr>
      <w:r>
        <w:rPr>
          <w:w w:val="105"/>
        </w:rPr>
        <w:t>association</w:t>
      </w:r>
      <w:r>
        <w:rPr>
          <w:w w:val="105"/>
        </w:rPr>
        <w:t> found</w:t>
      </w:r>
      <w:r>
        <w:rPr>
          <w:w w:val="105"/>
        </w:rPr>
        <w:t> between</w:t>
      </w:r>
      <w:r>
        <w:rPr>
          <w:w w:val="105"/>
        </w:rPr>
        <w:t> leisure</w:t>
      </w:r>
      <w:r>
        <w:rPr>
          <w:spacing w:val="-7"/>
          <w:w w:val="105"/>
        </w:rPr>
        <w:t> </w:t>
      </w:r>
      <w:r>
        <w:rPr>
          <w:w w:val="105"/>
        </w:rPr>
        <w:t>activities, depressive symptoms and the Reassurance of Worth subscale (RAW) score. Higher</w:t>
      </w:r>
      <w:r>
        <w:rPr>
          <w:w w:val="105"/>
        </w:rPr>
        <w:t> RAW scores were associated</w:t>
      </w:r>
      <w:r>
        <w:rPr>
          <w:w w:val="105"/>
        </w:rPr>
        <w:t> with more leisure activities with depression, mediating the relationship between the two variables.</w:t>
      </w:r>
      <w:r>
        <w:rPr>
          <w:w w:val="105"/>
        </w:rPr>
        <w:t> In the current</w:t>
      </w:r>
      <w:r>
        <w:rPr>
          <w:spacing w:val="22"/>
          <w:w w:val="105"/>
        </w:rPr>
        <w:t> </w:t>
      </w:r>
      <w:r>
        <w:rPr>
          <w:w w:val="105"/>
        </w:rPr>
        <w:t>study, efforts</w:t>
      </w:r>
      <w:r>
        <w:rPr>
          <w:spacing w:val="21"/>
          <w:w w:val="105"/>
        </w:rPr>
        <w:t> </w:t>
      </w:r>
      <w:r>
        <w:rPr>
          <w:w w:val="105"/>
        </w:rPr>
        <w:t>were</w:t>
      </w:r>
      <w:r>
        <w:rPr>
          <w:spacing w:val="18"/>
          <w:w w:val="105"/>
        </w:rPr>
        <w:t> </w:t>
      </w:r>
      <w:r>
        <w:rPr>
          <w:w w:val="105"/>
        </w:rPr>
        <w:t>made to screen</w:t>
      </w:r>
      <w:r>
        <w:rPr>
          <w:spacing w:val="27"/>
          <w:w w:val="105"/>
        </w:rPr>
        <w:t> </w:t>
      </w:r>
      <w:r>
        <w:rPr>
          <w:w w:val="105"/>
        </w:rPr>
        <w:t>for theoretically</w:t>
      </w:r>
      <w:r>
        <w:rPr>
          <w:spacing w:val="28"/>
          <w:w w:val="105"/>
        </w:rPr>
        <w:t> </w:t>
      </w:r>
      <w:r>
        <w:rPr>
          <w:w w:val="105"/>
        </w:rPr>
        <w:t>possible</w:t>
      </w:r>
      <w:r>
        <w:rPr>
          <w:spacing w:val="25"/>
          <w:w w:val="105"/>
        </w:rPr>
        <w:t> </w:t>
      </w:r>
      <w:r>
        <w:rPr>
          <w:w w:val="105"/>
        </w:rPr>
        <w:t>mediating</w:t>
      </w:r>
      <w:r>
        <w:rPr>
          <w:spacing w:val="25"/>
          <w:w w:val="105"/>
        </w:rPr>
        <w:t> </w:t>
      </w:r>
      <w:r>
        <w:rPr>
          <w:w w:val="105"/>
        </w:rPr>
        <w:t>variables</w:t>
      </w:r>
      <w:r>
        <w:rPr>
          <w:w w:val="105"/>
        </w:rPr>
        <w:t> to make the most accurate conclusions. Fatigue did emerge as</w:t>
      </w:r>
      <w:r>
        <w:rPr>
          <w:spacing w:val="-3"/>
          <w:w w:val="105"/>
        </w:rPr>
        <w:t> </w:t>
      </w:r>
      <w:r>
        <w:rPr>
          <w:w w:val="105"/>
        </w:rPr>
        <w:t>a potential</w:t>
      </w:r>
      <w:r>
        <w:rPr>
          <w:spacing w:val="32"/>
          <w:w w:val="105"/>
        </w:rPr>
        <w:t> </w:t>
      </w:r>
      <w:r>
        <w:rPr>
          <w:w w:val="105"/>
        </w:rPr>
        <w:t>variable,</w:t>
      </w:r>
      <w:r>
        <w:rPr>
          <w:spacing w:val="34"/>
          <w:w w:val="105"/>
        </w:rPr>
        <w:t> </w:t>
      </w:r>
      <w:r>
        <w:rPr>
          <w:w w:val="105"/>
        </w:rPr>
        <w:t>but it was excluded</w:t>
      </w:r>
      <w:r>
        <w:rPr>
          <w:spacing w:val="36"/>
          <w:w w:val="105"/>
        </w:rPr>
        <w:t> </w:t>
      </w:r>
      <w:r>
        <w:rPr>
          <w:w w:val="105"/>
        </w:rPr>
        <w:t>from analyses to avoid problems with multicollinearity,</w:t>
      </w:r>
      <w:r>
        <w:rPr>
          <w:spacing w:val="-6"/>
          <w:w w:val="105"/>
        </w:rPr>
        <w:t> </w:t>
      </w:r>
      <w:r>
        <w:rPr>
          <w:w w:val="105"/>
        </w:rPr>
        <w:t>due to its strong correlation</w:t>
      </w:r>
      <w:r>
        <w:rPr>
          <w:spacing w:val="31"/>
          <w:w w:val="105"/>
        </w:rPr>
        <w:t> </w:t>
      </w:r>
      <w:r>
        <w:rPr>
          <w:w w:val="105"/>
        </w:rPr>
        <w:t>with FM status. Future research</w:t>
      </w:r>
      <w:r>
        <w:rPr>
          <w:spacing w:val="31"/>
          <w:w w:val="105"/>
        </w:rPr>
        <w:t> </w:t>
      </w:r>
      <w:r>
        <w:rPr>
          <w:w w:val="105"/>
        </w:rPr>
        <w:t>with a larger FM sample (i.e., greater</w:t>
      </w:r>
      <w:r>
        <w:rPr>
          <w:spacing w:val="26"/>
          <w:w w:val="105"/>
        </w:rPr>
        <w:t> </w:t>
      </w:r>
      <w:r>
        <w:rPr>
          <w:w w:val="105"/>
        </w:rPr>
        <w:t>inter- FM variability) might be</w:t>
      </w:r>
      <w:r>
        <w:rPr>
          <w:spacing w:val="-2"/>
          <w:w w:val="105"/>
        </w:rPr>
        <w:t> </w:t>
      </w:r>
      <w:r>
        <w:rPr>
          <w:w w:val="105"/>
        </w:rPr>
        <w:t>able</w:t>
      </w:r>
      <w:r>
        <w:rPr>
          <w:spacing w:val="-4"/>
          <w:w w:val="105"/>
        </w:rPr>
        <w:t> </w:t>
      </w:r>
      <w:r>
        <w:rPr>
          <w:w w:val="105"/>
        </w:rPr>
        <w:t>to</w:t>
      </w:r>
      <w:r>
        <w:rPr>
          <w:spacing w:val="-2"/>
          <w:w w:val="105"/>
        </w:rPr>
        <w:t> </w:t>
      </w:r>
      <w:r>
        <w:rPr>
          <w:w w:val="105"/>
        </w:rPr>
        <w:t>shed light on the possible mediating influence of fatigue and other relevant variables.</w:t>
      </w:r>
    </w:p>
    <w:p>
      <w:pPr>
        <w:pStyle w:val="BodyText"/>
        <w:spacing w:line="496" w:lineRule="auto"/>
        <w:ind w:left="448" w:right="296" w:firstLine="702"/>
      </w:pPr>
      <w:r>
        <w:rPr>
          <w:w w:val="105"/>
        </w:rPr>
        <w:t>Another potential explanation</w:t>
      </w:r>
      <w:r>
        <w:rPr>
          <w:w w:val="105"/>
        </w:rPr>
        <w:t> of failing to find an association</w:t>
      </w:r>
      <w:r>
        <w:rPr>
          <w:spacing w:val="39"/>
          <w:w w:val="105"/>
        </w:rPr>
        <w:t> </w:t>
      </w:r>
      <w:r>
        <w:rPr>
          <w:w w:val="105"/>
        </w:rPr>
        <w:t>between engagement</w:t>
      </w:r>
      <w:r>
        <w:rPr>
          <w:spacing w:val="23"/>
          <w:w w:val="105"/>
        </w:rPr>
        <w:t> </w:t>
      </w:r>
      <w:r>
        <w:rPr>
          <w:w w:val="105"/>
        </w:rPr>
        <w:t>in leisure</w:t>
      </w:r>
      <w:r>
        <w:rPr>
          <w:spacing w:val="-4"/>
          <w:w w:val="105"/>
        </w:rPr>
        <w:t> </w:t>
      </w:r>
      <w:r>
        <w:rPr>
          <w:w w:val="105"/>
        </w:rPr>
        <w:t>activities in Wave</w:t>
      </w:r>
      <w:r>
        <w:rPr>
          <w:w w:val="105"/>
        </w:rPr>
        <w:t> l</w:t>
      </w:r>
      <w:r>
        <w:rPr>
          <w:spacing w:val="20"/>
          <w:w w:val="105"/>
        </w:rPr>
        <w:t> </w:t>
      </w:r>
      <w:r>
        <w:rPr>
          <w:w w:val="105"/>
        </w:rPr>
        <w:t>and</w:t>
      </w:r>
      <w:r>
        <w:rPr>
          <w:spacing w:val="-2"/>
          <w:w w:val="105"/>
        </w:rPr>
        <w:t> </w:t>
      </w:r>
      <w:r>
        <w:rPr>
          <w:w w:val="105"/>
        </w:rPr>
        <w:t>depressive</w:t>
      </w:r>
      <w:r>
        <w:rPr>
          <w:spacing w:val="-2"/>
          <w:w w:val="105"/>
        </w:rPr>
        <w:t> </w:t>
      </w:r>
      <w:r>
        <w:rPr>
          <w:w w:val="105"/>
        </w:rPr>
        <w:t>symptoms 2years later in Wave 2 is</w:t>
      </w:r>
      <w:r>
        <w:rPr>
          <w:spacing w:val="-5"/>
          <w:w w:val="105"/>
        </w:rPr>
        <w:t> </w:t>
      </w:r>
      <w:r>
        <w:rPr>
          <w:w w:val="105"/>
        </w:rPr>
        <w:t>the time limitation. A study conducted</w:t>
      </w:r>
      <w:r>
        <w:rPr>
          <w:spacing w:val="30"/>
          <w:w w:val="105"/>
        </w:rPr>
        <w:t> </w:t>
      </w:r>
      <w:r>
        <w:rPr>
          <w:w w:val="105"/>
        </w:rPr>
        <w:t>by Katz and Yelin (2001), which looked at</w:t>
      </w:r>
      <w:r>
        <w:rPr>
          <w:spacing w:val="-3"/>
          <w:w w:val="105"/>
        </w:rPr>
        <w:t> </w:t>
      </w:r>
      <w:r>
        <w:rPr>
          <w:w w:val="105"/>
        </w:rPr>
        <w:t>the</w:t>
      </w:r>
      <w:r>
        <w:rPr>
          <w:spacing w:val="-7"/>
          <w:w w:val="105"/>
        </w:rPr>
        <w:t> </w:t>
      </w:r>
      <w:r>
        <w:rPr>
          <w:w w:val="105"/>
        </w:rPr>
        <w:t>association</w:t>
      </w:r>
      <w:r>
        <w:rPr>
          <w:spacing w:val="26"/>
          <w:w w:val="105"/>
        </w:rPr>
        <w:t> </w:t>
      </w:r>
      <w:r>
        <w:rPr>
          <w:w w:val="105"/>
        </w:rPr>
        <w:t>between activity loss</w:t>
      </w:r>
      <w:r>
        <w:rPr>
          <w:spacing w:val="-13"/>
          <w:w w:val="105"/>
        </w:rPr>
        <w:t> </w:t>
      </w:r>
      <w:r>
        <w:rPr>
          <w:w w:val="105"/>
        </w:rPr>
        <w:t>and depressive</w:t>
      </w:r>
      <w:r>
        <w:rPr>
          <w:spacing w:val="-2"/>
          <w:w w:val="105"/>
        </w:rPr>
        <w:t> </w:t>
      </w:r>
      <w:r>
        <w:rPr>
          <w:w w:val="105"/>
        </w:rPr>
        <w:t>symptoms in persons diagnosed</w:t>
      </w:r>
      <w:r>
        <w:rPr>
          <w:w w:val="105"/>
        </w:rPr>
        <w:t> with RA, found that in participants who</w:t>
      </w:r>
      <w:r>
        <w:rPr>
          <w:spacing w:val="-1"/>
          <w:w w:val="105"/>
        </w:rPr>
        <w:t> </w:t>
      </w:r>
      <w:r>
        <w:rPr>
          <w:w w:val="105"/>
        </w:rPr>
        <w:t>did experience an increase</w:t>
      </w:r>
      <w:r>
        <w:rPr>
          <w:w w:val="105"/>
        </w:rPr>
        <w:t> in depressive symptoms, the</w:t>
      </w:r>
      <w:r>
        <w:rPr>
          <w:spacing w:val="-8"/>
          <w:w w:val="105"/>
        </w:rPr>
        <w:t> </w:t>
      </w:r>
      <w:r>
        <w:rPr>
          <w:w w:val="105"/>
        </w:rPr>
        <w:t>significant difference was not</w:t>
      </w:r>
      <w:r>
        <w:rPr>
          <w:spacing w:val="-1"/>
          <w:w w:val="105"/>
        </w:rPr>
        <w:t> </w:t>
      </w:r>
      <w:r>
        <w:rPr>
          <w:w w:val="105"/>
        </w:rPr>
        <w:t>evident</w:t>
      </w:r>
      <w:r>
        <w:rPr>
          <w:w w:val="105"/>
        </w:rPr>
        <w:t> until the third year</w:t>
      </w:r>
    </w:p>
    <w:p>
      <w:pPr>
        <w:spacing w:after="0" w:line="496" w:lineRule="auto"/>
        <w:sectPr>
          <w:headerReference w:type="default" r:id="rId41"/>
          <w:pgSz w:w="12450" w:h="15720"/>
          <w:pgMar w:header="1021" w:footer="0" w:top="1600" w:bottom="280" w:left="1760" w:right="1720"/>
        </w:sectPr>
      </w:pPr>
    </w:p>
    <w:p>
      <w:pPr>
        <w:pStyle w:val="BodyText"/>
        <w:spacing w:line="496" w:lineRule="auto" w:before="81"/>
        <w:ind w:left="496" w:right="212" w:firstLine="3"/>
      </w:pPr>
      <w:r>
        <w:rPr>
          <w:w w:val="105"/>
        </w:rPr>
        <w:t>following the initial assessment. More specifically, there was a significant</w:t>
      </w:r>
      <w:r>
        <w:rPr>
          <w:spacing w:val="36"/>
          <w:w w:val="105"/>
        </w:rPr>
        <w:t> </w:t>
      </w:r>
      <w:r>
        <w:rPr>
          <w:w w:val="105"/>
        </w:rPr>
        <w:t>increase in depressive symptoms</w:t>
      </w:r>
      <w:r>
        <w:rPr>
          <w:spacing w:val="-5"/>
          <w:w w:val="105"/>
        </w:rPr>
        <w:t> </w:t>
      </w:r>
      <w:r>
        <w:rPr>
          <w:w w:val="105"/>
        </w:rPr>
        <w:t>detected only between the</w:t>
      </w:r>
      <w:r>
        <w:rPr>
          <w:spacing w:val="-4"/>
          <w:w w:val="105"/>
        </w:rPr>
        <w:t> </w:t>
      </w:r>
      <w:r>
        <w:rPr>
          <w:w w:val="105"/>
        </w:rPr>
        <w:t>third and fourth years. Applying that to the FM population, future follow-up</w:t>
      </w:r>
      <w:r>
        <w:rPr>
          <w:w w:val="105"/>
        </w:rPr>
        <w:t> investigations may reveal a greater association between</w:t>
      </w:r>
      <w:r>
        <w:rPr>
          <w:spacing w:val="40"/>
          <w:w w:val="105"/>
        </w:rPr>
        <w:t> </w:t>
      </w:r>
      <w:r>
        <w:rPr>
          <w:w w:val="105"/>
        </w:rPr>
        <w:t>leisure activities and depressive symptoms.</w:t>
      </w:r>
    </w:p>
    <w:p>
      <w:pPr>
        <w:pStyle w:val="BodyText"/>
        <w:spacing w:line="494" w:lineRule="auto"/>
        <w:ind w:left="499" w:right="128" w:firstLine="704"/>
      </w:pPr>
      <w:r>
        <w:rPr>
          <w:w w:val="105"/>
        </w:rPr>
        <w:t>It is important to note that, while no statistical significance</w:t>
      </w:r>
      <w:r>
        <w:rPr>
          <w:spacing w:val="39"/>
          <w:w w:val="105"/>
        </w:rPr>
        <w:t> </w:t>
      </w:r>
      <w:r>
        <w:rPr>
          <w:w w:val="105"/>
        </w:rPr>
        <w:t>was detected, the findings do suggest clinical</w:t>
      </w:r>
      <w:r>
        <w:rPr>
          <w:spacing w:val="35"/>
          <w:w w:val="105"/>
        </w:rPr>
        <w:t> </w:t>
      </w:r>
      <w:r>
        <w:rPr>
          <w:w w:val="105"/>
        </w:rPr>
        <w:t>importance. More specifically, an odds ratio of 4.41 for overall</w:t>
      </w:r>
      <w:r>
        <w:rPr>
          <w:w w:val="105"/>
        </w:rPr>
        <w:t> leisure activity in Wave 1 and depressive symptoms at Wave 2 illustrates that participants who</w:t>
      </w:r>
      <w:r>
        <w:rPr>
          <w:spacing w:val="-2"/>
          <w:w w:val="105"/>
        </w:rPr>
        <w:t> </w:t>
      </w:r>
      <w:r>
        <w:rPr>
          <w:w w:val="105"/>
        </w:rPr>
        <w:t>experience a decrease in overall</w:t>
      </w:r>
      <w:r>
        <w:rPr>
          <w:spacing w:val="29"/>
          <w:w w:val="105"/>
        </w:rPr>
        <w:t> </w:t>
      </w:r>
      <w:r>
        <w:rPr>
          <w:w w:val="105"/>
        </w:rPr>
        <w:t>leisure activities at Wave</w:t>
      </w:r>
      <w:r>
        <w:rPr>
          <w:spacing w:val="38"/>
          <w:w w:val="105"/>
        </w:rPr>
        <w:t> </w:t>
      </w:r>
      <w:r>
        <w:rPr>
          <w:w w:val="105"/>
        </w:rPr>
        <w:t>I</w:t>
      </w:r>
      <w:r>
        <w:rPr>
          <w:spacing w:val="36"/>
          <w:w w:val="105"/>
        </w:rPr>
        <w:t> </w:t>
      </w:r>
      <w:r>
        <w:rPr>
          <w:w w:val="105"/>
        </w:rPr>
        <w:t>are 4.41 times more likely to have an increase in severity of depressive symptoms in</w:t>
      </w:r>
      <w:r>
        <w:rPr>
          <w:w w:val="105"/>
        </w:rPr>
        <w:t> Wave 2,</w:t>
      </w:r>
      <w:r>
        <w:rPr>
          <w:spacing w:val="-2"/>
          <w:w w:val="105"/>
        </w:rPr>
        <w:t> </w:t>
      </w:r>
      <w:r>
        <w:rPr>
          <w:w w:val="105"/>
        </w:rPr>
        <w:t>as compared to</w:t>
      </w:r>
      <w:r>
        <w:rPr>
          <w:spacing w:val="-3"/>
          <w:w w:val="105"/>
        </w:rPr>
        <w:t> </w:t>
      </w:r>
      <w:r>
        <w:rPr>
          <w:w w:val="105"/>
        </w:rPr>
        <w:t>those who do not see</w:t>
      </w:r>
      <w:r>
        <w:rPr>
          <w:spacing w:val="-1"/>
          <w:w w:val="105"/>
        </w:rPr>
        <w:t> </w:t>
      </w:r>
      <w:r>
        <w:rPr>
          <w:w w:val="105"/>
        </w:rPr>
        <w:t>a decrease in overall leisure. Similarly, the</w:t>
      </w:r>
      <w:r>
        <w:rPr>
          <w:spacing w:val="-6"/>
          <w:w w:val="105"/>
        </w:rPr>
        <w:t> </w:t>
      </w:r>
      <w:r>
        <w:rPr>
          <w:w w:val="105"/>
        </w:rPr>
        <w:t>odds ratios for active and</w:t>
      </w:r>
      <w:r>
        <w:rPr>
          <w:spacing w:val="30"/>
          <w:w w:val="105"/>
        </w:rPr>
        <w:t> </w:t>
      </w:r>
      <w:r>
        <w:rPr>
          <w:w w:val="105"/>
        </w:rPr>
        <w:t>passive leisure were 2.44 and 3.17, respectively,</w:t>
      </w:r>
      <w:r>
        <w:rPr>
          <w:spacing w:val="28"/>
          <w:w w:val="105"/>
        </w:rPr>
        <w:t> </w:t>
      </w:r>
      <w:r>
        <w:rPr>
          <w:w w:val="105"/>
        </w:rPr>
        <w:t>suggesting that participants who experience a decrease in active and</w:t>
      </w:r>
      <w:r>
        <w:rPr>
          <w:w w:val="105"/>
        </w:rPr>
        <w:t> passive leisure activities</w:t>
      </w:r>
      <w:r>
        <w:rPr>
          <w:spacing w:val="-1"/>
          <w:w w:val="105"/>
        </w:rPr>
        <w:t> </w:t>
      </w:r>
      <w:r>
        <w:rPr>
          <w:w w:val="105"/>
        </w:rPr>
        <w:t>at Wave 1 are</w:t>
      </w:r>
      <w:r>
        <w:rPr>
          <w:spacing w:val="-1"/>
          <w:w w:val="105"/>
        </w:rPr>
        <w:t> </w:t>
      </w:r>
      <w:r>
        <w:rPr>
          <w:w w:val="105"/>
        </w:rPr>
        <w:t>2.44 and 3.17 times more likely to experience an increase</w:t>
      </w:r>
      <w:r>
        <w:rPr>
          <w:w w:val="105"/>
        </w:rPr>
        <w:t> in severity of depressive symptoms at Wave 2.</w:t>
      </w:r>
      <w:r>
        <w:rPr>
          <w:spacing w:val="-2"/>
          <w:w w:val="105"/>
        </w:rPr>
        <w:t> </w:t>
      </w:r>
      <w:r>
        <w:rPr>
          <w:w w:val="105"/>
        </w:rPr>
        <w:t>However, due</w:t>
      </w:r>
      <w:r>
        <w:rPr>
          <w:spacing w:val="-7"/>
          <w:w w:val="105"/>
        </w:rPr>
        <w:t> </w:t>
      </w:r>
      <w:r>
        <w:rPr>
          <w:w w:val="105"/>
        </w:rPr>
        <w:t>to</w:t>
      </w:r>
      <w:r>
        <w:rPr>
          <w:spacing w:val="-6"/>
          <w:w w:val="105"/>
        </w:rPr>
        <w:t> </w:t>
      </w:r>
      <w:r>
        <w:rPr>
          <w:w w:val="105"/>
        </w:rPr>
        <w:t>the low sample size</w:t>
      </w:r>
      <w:r>
        <w:rPr>
          <w:spacing w:val="-7"/>
          <w:w w:val="105"/>
        </w:rPr>
        <w:t> </w:t>
      </w:r>
      <w:r>
        <w:rPr>
          <w:w w:val="105"/>
        </w:rPr>
        <w:t>of individuals participating</w:t>
      </w:r>
      <w:r>
        <w:rPr>
          <w:spacing w:val="23"/>
          <w:w w:val="105"/>
        </w:rPr>
        <w:t> </w:t>
      </w:r>
      <w:r>
        <w:rPr>
          <w:w w:val="105"/>
        </w:rPr>
        <w:t>in both waves</w:t>
      </w:r>
      <w:r>
        <w:rPr>
          <w:spacing w:val="-4"/>
          <w:w w:val="105"/>
        </w:rPr>
        <w:t> </w:t>
      </w:r>
      <w:r>
        <w:rPr>
          <w:w w:val="105"/>
        </w:rPr>
        <w:t>(2008 and 2010) leading to low power, this</w:t>
      </w:r>
      <w:r>
        <w:rPr>
          <w:spacing w:val="-7"/>
          <w:w w:val="105"/>
        </w:rPr>
        <w:t> </w:t>
      </w:r>
      <w:r>
        <w:rPr>
          <w:w w:val="105"/>
        </w:rPr>
        <w:t>clinically meaningful association did not reach statistical significance.</w:t>
      </w:r>
    </w:p>
    <w:p>
      <w:pPr>
        <w:pStyle w:val="BodyText"/>
        <w:spacing w:before="9"/>
        <w:ind w:left="435"/>
        <w:jc w:val="center"/>
      </w:pPr>
      <w:r>
        <w:rPr>
          <w:w w:val="105"/>
          <w:u w:val="thick"/>
        </w:rPr>
        <w:t>Limitations</w:t>
      </w:r>
      <w:r>
        <w:rPr>
          <w:spacing w:val="-7"/>
          <w:w w:val="105"/>
          <w:u w:val="thick"/>
        </w:rPr>
        <w:t> </w:t>
      </w:r>
      <w:r>
        <w:rPr>
          <w:w w:val="105"/>
          <w:u w:val="thick"/>
        </w:rPr>
        <w:t>and</w:t>
      </w:r>
      <w:r>
        <w:rPr>
          <w:spacing w:val="4"/>
          <w:w w:val="105"/>
          <w:u w:val="thick"/>
        </w:rPr>
        <w:t> </w:t>
      </w:r>
      <w:r>
        <w:rPr>
          <w:w w:val="105"/>
          <w:u w:val="thick"/>
        </w:rPr>
        <w:t>Future</w:t>
      </w:r>
      <w:r>
        <w:rPr>
          <w:spacing w:val="-3"/>
          <w:w w:val="105"/>
          <w:u w:val="thick"/>
        </w:rPr>
        <w:t> </w:t>
      </w:r>
      <w:r>
        <w:rPr>
          <w:spacing w:val="-2"/>
          <w:w w:val="105"/>
          <w:u w:val="thick"/>
        </w:rPr>
        <w:t>Directions</w:t>
      </w:r>
    </w:p>
    <w:p>
      <w:pPr>
        <w:pStyle w:val="BodyText"/>
        <w:spacing w:before="17"/>
      </w:pPr>
    </w:p>
    <w:p>
      <w:pPr>
        <w:pStyle w:val="BodyText"/>
        <w:spacing w:line="494" w:lineRule="auto" w:before="1"/>
        <w:ind w:left="514" w:right="212" w:firstLine="693"/>
      </w:pPr>
      <w:r>
        <w:rPr>
          <w:w w:val="105"/>
        </w:rPr>
        <w:t>The</w:t>
      </w:r>
      <w:r>
        <w:rPr>
          <w:spacing w:val="-3"/>
          <w:w w:val="105"/>
        </w:rPr>
        <w:t> </w:t>
      </w:r>
      <w:r>
        <w:rPr>
          <w:w w:val="105"/>
        </w:rPr>
        <w:t>current study has</w:t>
      </w:r>
      <w:r>
        <w:rPr>
          <w:spacing w:val="-9"/>
          <w:w w:val="105"/>
        </w:rPr>
        <w:t> </w:t>
      </w:r>
      <w:r>
        <w:rPr>
          <w:w w:val="105"/>
        </w:rPr>
        <w:t>several limitations. The sample was limited to</w:t>
      </w:r>
      <w:r>
        <w:rPr>
          <w:spacing w:val="29"/>
          <w:w w:val="105"/>
        </w:rPr>
        <w:t> </w:t>
      </w:r>
      <w:r>
        <w:rPr>
          <w:w w:val="105"/>
        </w:rPr>
        <w:t>participants from a</w:t>
      </w:r>
      <w:r>
        <w:rPr>
          <w:spacing w:val="-9"/>
          <w:w w:val="105"/>
        </w:rPr>
        <w:t> </w:t>
      </w:r>
      <w:r>
        <w:rPr>
          <w:w w:val="105"/>
        </w:rPr>
        <w:t>small</w:t>
      </w:r>
      <w:r>
        <w:rPr>
          <w:spacing w:val="-1"/>
          <w:w w:val="105"/>
        </w:rPr>
        <w:t> </w:t>
      </w:r>
      <w:r>
        <w:rPr>
          <w:w w:val="105"/>
        </w:rPr>
        <w:t>geographic area in</w:t>
      </w:r>
      <w:r>
        <w:rPr>
          <w:spacing w:val="-4"/>
          <w:w w:val="105"/>
        </w:rPr>
        <w:t> </w:t>
      </w:r>
      <w:r>
        <w:rPr>
          <w:w w:val="105"/>
        </w:rPr>
        <w:t>southern California. Most participants were female, well educated, and from</w:t>
      </w:r>
      <w:r>
        <w:rPr>
          <w:w w:val="105"/>
        </w:rPr>
        <w:t> middle and upper middle class backgrounds. Even though efforts were made to</w:t>
      </w:r>
      <w:r>
        <w:rPr>
          <w:spacing w:val="-3"/>
          <w:w w:val="105"/>
        </w:rPr>
        <w:t> </w:t>
      </w:r>
      <w:r>
        <w:rPr>
          <w:w w:val="105"/>
        </w:rPr>
        <w:t>create a diverse sample of participants, the factors listed above create a barrier in generalizing results to other populations.</w:t>
      </w:r>
      <w:r>
        <w:rPr>
          <w:w w:val="105"/>
        </w:rPr>
        <w:t> In addition, a small sample size of persons participating</w:t>
      </w:r>
      <w:r>
        <w:rPr>
          <w:w w:val="105"/>
        </w:rPr>
        <w:t> in both Wave 1 and Wave 2 possibly contributed</w:t>
      </w:r>
      <w:r>
        <w:rPr>
          <w:spacing w:val="33"/>
          <w:w w:val="105"/>
        </w:rPr>
        <w:t> </w:t>
      </w:r>
      <w:r>
        <w:rPr>
          <w:w w:val="105"/>
        </w:rPr>
        <w:t>to</w:t>
      </w:r>
      <w:r>
        <w:rPr>
          <w:spacing w:val="-4"/>
          <w:w w:val="105"/>
        </w:rPr>
        <w:t> </w:t>
      </w:r>
      <w:r>
        <w:rPr>
          <w:w w:val="105"/>
        </w:rPr>
        <w:t>the lack of</w:t>
      </w:r>
    </w:p>
    <w:p>
      <w:pPr>
        <w:spacing w:after="0" w:line="494" w:lineRule="auto"/>
        <w:sectPr>
          <w:headerReference w:type="default" r:id="rId42"/>
          <w:pgSz w:w="12550" w:h="15810"/>
          <w:pgMar w:header="1053" w:footer="0" w:top="1640" w:bottom="280" w:left="1780" w:right="1780"/>
        </w:sectPr>
      </w:pPr>
    </w:p>
    <w:p>
      <w:pPr>
        <w:pStyle w:val="BodyText"/>
        <w:spacing w:line="499" w:lineRule="auto" w:before="81"/>
        <w:ind w:left="492" w:right="212" w:hanging="9"/>
      </w:pPr>
      <w:r>
        <w:rPr>
          <w:w w:val="105"/>
        </w:rPr>
        <w:t>significant correlations found</w:t>
      </w:r>
      <w:r>
        <w:rPr>
          <w:w w:val="105"/>
        </w:rPr>
        <w:t> in the logistic regression analyses looking at the longitudinal</w:t>
      </w:r>
      <w:r>
        <w:rPr>
          <w:w w:val="105"/>
        </w:rPr>
        <w:t> data.</w:t>
      </w:r>
      <w:r>
        <w:rPr>
          <w:spacing w:val="-13"/>
          <w:w w:val="105"/>
        </w:rPr>
        <w:t> </w:t>
      </w:r>
      <w:r>
        <w:rPr>
          <w:w w:val="105"/>
        </w:rPr>
        <w:t>Therefore, future research should explore the</w:t>
      </w:r>
      <w:r>
        <w:rPr>
          <w:spacing w:val="-1"/>
          <w:w w:val="105"/>
        </w:rPr>
        <w:t> </w:t>
      </w:r>
      <w:r>
        <w:rPr>
          <w:w w:val="105"/>
        </w:rPr>
        <w:t>possibility of</w:t>
      </w:r>
      <w:r>
        <w:rPr>
          <w:spacing w:val="-13"/>
          <w:w w:val="105"/>
        </w:rPr>
        <w:t> </w:t>
      </w:r>
      <w:r>
        <w:rPr>
          <w:w w:val="105"/>
        </w:rPr>
        <w:t>collecting</w:t>
      </w:r>
      <w:r>
        <w:rPr>
          <w:spacing w:val="-3"/>
          <w:w w:val="105"/>
        </w:rPr>
        <w:t> </w:t>
      </w:r>
      <w:r>
        <w:rPr>
          <w:w w:val="105"/>
        </w:rPr>
        <w:t>a larger and more diverse sample to further explore relationships between chronic pain, leisure activity, and depressive symptoms in persons with FM.</w:t>
      </w:r>
    </w:p>
    <w:p>
      <w:pPr>
        <w:pStyle w:val="BodyText"/>
        <w:spacing w:line="494" w:lineRule="auto"/>
        <w:ind w:left="486" w:right="128" w:firstLine="704"/>
      </w:pPr>
      <w:r>
        <w:rPr>
          <w:w w:val="105"/>
        </w:rPr>
        <w:t>In addition, there are</w:t>
      </w:r>
      <w:r>
        <w:rPr>
          <w:spacing w:val="-1"/>
          <w:w w:val="105"/>
        </w:rPr>
        <w:t> </w:t>
      </w:r>
      <w:r>
        <w:rPr>
          <w:w w:val="105"/>
        </w:rPr>
        <w:t>other variables that could contribute to the associations analyzed</w:t>
      </w:r>
      <w:r>
        <w:rPr>
          <w:spacing w:val="33"/>
          <w:w w:val="105"/>
        </w:rPr>
        <w:t> </w:t>
      </w:r>
      <w:r>
        <w:rPr>
          <w:w w:val="105"/>
        </w:rPr>
        <w:t>in the current study that were possibly overlooked</w:t>
      </w:r>
      <w:r>
        <w:rPr>
          <w:w w:val="105"/>
        </w:rPr>
        <w:t> here. We</w:t>
      </w:r>
      <w:r>
        <w:rPr>
          <w:spacing w:val="-2"/>
          <w:w w:val="105"/>
        </w:rPr>
        <w:t> </w:t>
      </w:r>
      <w:r>
        <w:rPr>
          <w:w w:val="105"/>
        </w:rPr>
        <w:t>did look into employment,</w:t>
      </w:r>
      <w:r>
        <w:rPr>
          <w:w w:val="105"/>
        </w:rPr>
        <w:t> responsibility for other adults and children, and fatigue and found strong association</w:t>
      </w:r>
      <w:r>
        <w:rPr>
          <w:spacing w:val="38"/>
          <w:w w:val="105"/>
        </w:rPr>
        <w:t> </w:t>
      </w:r>
      <w:r>
        <w:rPr>
          <w:w w:val="105"/>
        </w:rPr>
        <w:t>between fatigue and all three variables of interest (FM status, as</w:t>
      </w:r>
      <w:r>
        <w:rPr>
          <w:spacing w:val="-3"/>
          <w:w w:val="105"/>
        </w:rPr>
        <w:t> </w:t>
      </w:r>
      <w:r>
        <w:rPr>
          <w:w w:val="105"/>
        </w:rPr>
        <w:t>a pain variable, depressive symptoms, and leisure</w:t>
      </w:r>
      <w:r>
        <w:rPr>
          <w:spacing w:val="-6"/>
          <w:w w:val="105"/>
        </w:rPr>
        <w:t> </w:t>
      </w:r>
      <w:r>
        <w:rPr>
          <w:w w:val="105"/>
        </w:rPr>
        <w:t>activities). However, fatigue was not included in further analyses because of its very strong association</w:t>
      </w:r>
      <w:r>
        <w:rPr>
          <w:spacing w:val="40"/>
          <w:w w:val="105"/>
        </w:rPr>
        <w:t> </w:t>
      </w:r>
      <w:r>
        <w:rPr>
          <w:w w:val="105"/>
        </w:rPr>
        <w:t>with</w:t>
      </w:r>
      <w:r>
        <w:rPr>
          <w:w w:val="105"/>
        </w:rPr>
        <w:t> FM status to</w:t>
      </w:r>
      <w:r>
        <w:rPr>
          <w:spacing w:val="-6"/>
          <w:w w:val="105"/>
        </w:rPr>
        <w:t> </w:t>
      </w:r>
      <w:r>
        <w:rPr>
          <w:w w:val="105"/>
        </w:rPr>
        <w:t>avoid issues with multicollinearity.</w:t>
      </w:r>
      <w:r>
        <w:rPr>
          <w:spacing w:val="-2"/>
          <w:w w:val="105"/>
        </w:rPr>
        <w:t> </w:t>
      </w:r>
      <w:r>
        <w:rPr>
          <w:w w:val="105"/>
        </w:rPr>
        <w:t>In past research, there</w:t>
      </w:r>
      <w:r>
        <w:rPr>
          <w:spacing w:val="-3"/>
          <w:w w:val="105"/>
        </w:rPr>
        <w:t> </w:t>
      </w:r>
      <w:r>
        <w:rPr>
          <w:w w:val="105"/>
        </w:rPr>
        <w:t>were</w:t>
      </w:r>
      <w:r>
        <w:rPr>
          <w:spacing w:val="-3"/>
          <w:w w:val="105"/>
        </w:rPr>
        <w:t> </w:t>
      </w:r>
      <w:r>
        <w:rPr>
          <w:w w:val="105"/>
        </w:rPr>
        <w:t>other variables</w:t>
      </w:r>
      <w:r>
        <w:rPr>
          <w:spacing w:val="-3"/>
          <w:w w:val="105"/>
        </w:rPr>
        <w:t> </w:t>
      </w:r>
      <w:r>
        <w:rPr>
          <w:w w:val="105"/>
        </w:rPr>
        <w:t>discovered</w:t>
      </w:r>
      <w:r>
        <w:rPr>
          <w:w w:val="105"/>
        </w:rPr>
        <w:t> (e.g., RAW score) that were associated</w:t>
      </w:r>
      <w:r>
        <w:rPr>
          <w:w w:val="105"/>
        </w:rPr>
        <w:t> with both leisure and depressive symptoms, which played a role in interpretation and application of the results (e.g., Elliott &amp; Shewchuk, 1995).</w:t>
      </w:r>
    </w:p>
    <w:p>
      <w:pPr>
        <w:pStyle w:val="BodyText"/>
        <w:spacing w:line="496" w:lineRule="auto"/>
        <w:ind w:left="506" w:right="662" w:hanging="5"/>
        <w:jc w:val="both"/>
      </w:pPr>
      <w:r>
        <w:rPr>
          <w:w w:val="105"/>
        </w:rPr>
        <w:t>Therefore, looking at</w:t>
      </w:r>
      <w:r>
        <w:rPr>
          <w:spacing w:val="-4"/>
          <w:w w:val="105"/>
        </w:rPr>
        <w:t> </w:t>
      </w:r>
      <w:r>
        <w:rPr>
          <w:w w:val="105"/>
        </w:rPr>
        <w:t>other</w:t>
      </w:r>
      <w:r>
        <w:rPr>
          <w:spacing w:val="-5"/>
          <w:w w:val="105"/>
        </w:rPr>
        <w:t> </w:t>
      </w:r>
      <w:r>
        <w:rPr>
          <w:w w:val="105"/>
        </w:rPr>
        <w:t>alternative mediating variables could shed some light</w:t>
      </w:r>
      <w:r>
        <w:rPr>
          <w:spacing w:val="-4"/>
          <w:w w:val="105"/>
        </w:rPr>
        <w:t> </w:t>
      </w:r>
      <w:r>
        <w:rPr>
          <w:w w:val="105"/>
        </w:rPr>
        <w:t>on different aspects of</w:t>
      </w:r>
      <w:r>
        <w:rPr>
          <w:spacing w:val="-2"/>
          <w:w w:val="105"/>
        </w:rPr>
        <w:t> </w:t>
      </w:r>
      <w:r>
        <w:rPr>
          <w:w w:val="105"/>
        </w:rPr>
        <w:t>associations among the</w:t>
      </w:r>
      <w:r>
        <w:rPr>
          <w:spacing w:val="-6"/>
          <w:w w:val="105"/>
        </w:rPr>
        <w:t> </w:t>
      </w:r>
      <w:r>
        <w:rPr>
          <w:w w:val="105"/>
        </w:rPr>
        <w:t>three variables of interest (chronic pain, leisure activities, and depressive symptoms).</w:t>
      </w:r>
    </w:p>
    <w:p>
      <w:pPr>
        <w:pStyle w:val="BodyText"/>
        <w:spacing w:line="496" w:lineRule="auto"/>
        <w:ind w:left="506" w:right="156" w:firstLine="705"/>
      </w:pPr>
      <w:r>
        <w:rPr>
          <w:w w:val="105"/>
        </w:rPr>
        <w:t>Lastly, the lack of longitudinal</w:t>
      </w:r>
      <w:r>
        <w:rPr>
          <w:w w:val="105"/>
        </w:rPr>
        <w:t> studies in this field makes it important to</w:t>
      </w:r>
      <w:r>
        <w:rPr>
          <w:spacing w:val="-5"/>
          <w:w w:val="105"/>
        </w:rPr>
        <w:t> </w:t>
      </w:r>
      <w:r>
        <w:rPr>
          <w:w w:val="105"/>
        </w:rPr>
        <w:t>address an additional aspect of</w:t>
      </w:r>
      <w:r>
        <w:rPr>
          <w:spacing w:val="-8"/>
          <w:w w:val="105"/>
        </w:rPr>
        <w:t> </w:t>
      </w:r>
      <w:r>
        <w:rPr>
          <w:w w:val="105"/>
        </w:rPr>
        <w:t>the</w:t>
      </w:r>
      <w:r>
        <w:rPr>
          <w:spacing w:val="-2"/>
          <w:w w:val="105"/>
        </w:rPr>
        <w:t> </w:t>
      </w:r>
      <w:r>
        <w:rPr>
          <w:w w:val="105"/>
        </w:rPr>
        <w:t>current study. Using data from two waves, collected</w:t>
      </w:r>
      <w:r>
        <w:rPr>
          <w:w w:val="105"/>
        </w:rPr>
        <w:t> 2 years apart, we were</w:t>
      </w:r>
      <w:r>
        <w:rPr>
          <w:spacing w:val="-1"/>
          <w:w w:val="105"/>
        </w:rPr>
        <w:t> </w:t>
      </w:r>
      <w:r>
        <w:rPr>
          <w:w w:val="105"/>
        </w:rPr>
        <w:t>able</w:t>
      </w:r>
      <w:r>
        <w:rPr>
          <w:spacing w:val="-2"/>
          <w:w w:val="105"/>
        </w:rPr>
        <w:t> </w:t>
      </w:r>
      <w:r>
        <w:rPr>
          <w:w w:val="105"/>
        </w:rPr>
        <w:t>to</w:t>
      </w:r>
      <w:r>
        <w:rPr>
          <w:spacing w:val="-8"/>
          <w:w w:val="105"/>
        </w:rPr>
        <w:t> </w:t>
      </w:r>
      <w:r>
        <w:rPr>
          <w:w w:val="105"/>
        </w:rPr>
        <w:t>analyze the</w:t>
      </w:r>
      <w:r>
        <w:rPr>
          <w:spacing w:val="-4"/>
          <w:w w:val="105"/>
        </w:rPr>
        <w:t> </w:t>
      </w:r>
      <w:r>
        <w:rPr>
          <w:w w:val="105"/>
        </w:rPr>
        <w:t>changes during that</w:t>
      </w:r>
      <w:r>
        <w:rPr>
          <w:spacing w:val="-1"/>
          <w:w w:val="105"/>
        </w:rPr>
        <w:t> </w:t>
      </w:r>
      <w:r>
        <w:rPr>
          <w:w w:val="105"/>
        </w:rPr>
        <w:t>time period.</w:t>
      </w:r>
      <w:r>
        <w:rPr>
          <w:spacing w:val="-1"/>
          <w:w w:val="105"/>
        </w:rPr>
        <w:t> </w:t>
      </w:r>
      <w:r>
        <w:rPr>
          <w:w w:val="105"/>
        </w:rPr>
        <w:t>However, it would be very important to</w:t>
      </w:r>
      <w:r>
        <w:rPr>
          <w:spacing w:val="-2"/>
          <w:w w:val="105"/>
        </w:rPr>
        <w:t> </w:t>
      </w:r>
      <w:r>
        <w:rPr>
          <w:w w:val="105"/>
        </w:rPr>
        <w:t>further analyze the</w:t>
      </w:r>
      <w:r>
        <w:rPr>
          <w:spacing w:val="-2"/>
          <w:w w:val="105"/>
        </w:rPr>
        <w:t> </w:t>
      </w:r>
      <w:r>
        <w:rPr>
          <w:w w:val="105"/>
        </w:rPr>
        <w:t>changes in the variables of interest</w:t>
      </w:r>
      <w:r>
        <w:rPr>
          <w:w w:val="105"/>
        </w:rPr>
        <w:t> past the 2 year mark. In fact, previous research did find significant changes in depressive symptoms between third and fourth</w:t>
      </w:r>
      <w:r>
        <w:rPr>
          <w:spacing w:val="-1"/>
          <w:w w:val="105"/>
        </w:rPr>
        <w:t> </w:t>
      </w:r>
      <w:r>
        <w:rPr>
          <w:w w:val="105"/>
        </w:rPr>
        <w:t>years</w:t>
      </w:r>
      <w:r>
        <w:rPr>
          <w:spacing w:val="-5"/>
          <w:w w:val="105"/>
        </w:rPr>
        <w:t> </w:t>
      </w:r>
      <w:r>
        <w:rPr>
          <w:w w:val="105"/>
        </w:rPr>
        <w:t>from an</w:t>
      </w:r>
      <w:r>
        <w:rPr>
          <w:w w:val="105"/>
        </w:rPr>
        <w:t> initial</w:t>
      </w:r>
      <w:r>
        <w:rPr>
          <w:spacing w:val="-5"/>
          <w:w w:val="105"/>
        </w:rPr>
        <w:t> </w:t>
      </w:r>
      <w:r>
        <w:rPr>
          <w:w w:val="105"/>
        </w:rPr>
        <w:t>assessment</w:t>
      </w:r>
      <w:r>
        <w:rPr>
          <w:w w:val="105"/>
        </w:rPr>
        <w:t> in people</w:t>
      </w:r>
      <w:r>
        <w:rPr>
          <w:spacing w:val="-6"/>
          <w:w w:val="105"/>
        </w:rPr>
        <w:t> </w:t>
      </w:r>
      <w:r>
        <w:rPr>
          <w:w w:val="105"/>
        </w:rPr>
        <w:t>with an RA diagnosis</w:t>
      </w:r>
    </w:p>
    <w:p>
      <w:pPr>
        <w:spacing w:after="0" w:line="496" w:lineRule="auto"/>
        <w:sectPr>
          <w:headerReference w:type="default" r:id="rId43"/>
          <w:pgSz w:w="12510" w:h="15780"/>
          <w:pgMar w:header="1039" w:footer="0" w:top="1620" w:bottom="280" w:left="1760" w:right="1760"/>
        </w:sectPr>
      </w:pPr>
    </w:p>
    <w:p>
      <w:pPr>
        <w:pStyle w:val="BodyText"/>
        <w:spacing w:line="496" w:lineRule="auto" w:before="81"/>
        <w:ind w:left="474" w:right="149" w:hanging="13"/>
      </w:pPr>
      <w:r>
        <w:rPr>
          <w:w w:val="105"/>
        </w:rPr>
        <w:t>(Katz</w:t>
      </w:r>
      <w:r>
        <w:rPr>
          <w:spacing w:val="-3"/>
          <w:w w:val="105"/>
        </w:rPr>
        <w:t> </w:t>
      </w:r>
      <w:r>
        <w:rPr>
          <w:w w:val="105"/>
        </w:rPr>
        <w:t>&amp;</w:t>
      </w:r>
      <w:r>
        <w:rPr>
          <w:spacing w:val="-6"/>
          <w:w w:val="105"/>
        </w:rPr>
        <w:t> </w:t>
      </w:r>
      <w:r>
        <w:rPr>
          <w:w w:val="105"/>
        </w:rPr>
        <w:t>Yelin,</w:t>
      </w:r>
      <w:r>
        <w:rPr>
          <w:spacing w:val="-2"/>
          <w:w w:val="105"/>
        </w:rPr>
        <w:t> </w:t>
      </w:r>
      <w:r>
        <w:rPr>
          <w:w w:val="105"/>
        </w:rPr>
        <w:t>2001). A</w:t>
      </w:r>
      <w:r>
        <w:rPr>
          <w:spacing w:val="-5"/>
          <w:w w:val="105"/>
        </w:rPr>
        <w:t> </w:t>
      </w:r>
      <w:r>
        <w:rPr>
          <w:w w:val="105"/>
        </w:rPr>
        <w:t>similar trend</w:t>
      </w:r>
      <w:r>
        <w:rPr>
          <w:spacing w:val="-5"/>
          <w:w w:val="105"/>
        </w:rPr>
        <w:t> </w:t>
      </w:r>
      <w:r>
        <w:rPr>
          <w:w w:val="105"/>
        </w:rPr>
        <w:t>could be</w:t>
      </w:r>
      <w:r>
        <w:rPr>
          <w:spacing w:val="-5"/>
          <w:w w:val="105"/>
        </w:rPr>
        <w:t> </w:t>
      </w:r>
      <w:r>
        <w:rPr>
          <w:w w:val="105"/>
        </w:rPr>
        <w:t>found</w:t>
      </w:r>
      <w:r>
        <w:rPr>
          <w:spacing w:val="16"/>
          <w:w w:val="105"/>
        </w:rPr>
        <w:t> </w:t>
      </w:r>
      <w:r>
        <w:rPr>
          <w:w w:val="105"/>
        </w:rPr>
        <w:t>in</w:t>
      </w:r>
      <w:r>
        <w:rPr>
          <w:spacing w:val="-1"/>
          <w:w w:val="105"/>
        </w:rPr>
        <w:t> </w:t>
      </w:r>
      <w:r>
        <w:rPr>
          <w:w w:val="105"/>
        </w:rPr>
        <w:t>the</w:t>
      </w:r>
      <w:r>
        <w:rPr>
          <w:spacing w:val="-2"/>
          <w:w w:val="105"/>
        </w:rPr>
        <w:t> </w:t>
      </w:r>
      <w:r>
        <w:rPr>
          <w:w w:val="105"/>
        </w:rPr>
        <w:t>FM population, so</w:t>
      </w:r>
      <w:r>
        <w:rPr>
          <w:spacing w:val="-8"/>
          <w:w w:val="105"/>
        </w:rPr>
        <w:t> </w:t>
      </w:r>
      <w:r>
        <w:rPr>
          <w:w w:val="105"/>
        </w:rPr>
        <w:t>additional waves of data collection would be advantageous.</w:t>
      </w:r>
    </w:p>
    <w:p>
      <w:pPr>
        <w:pStyle w:val="BodyText"/>
        <w:ind w:left="316"/>
        <w:jc w:val="center"/>
      </w:pPr>
      <w:r>
        <w:rPr>
          <w:spacing w:val="-2"/>
          <w:w w:val="105"/>
          <w:u w:val="thick"/>
        </w:rPr>
        <w:t>Conclusion</w:t>
      </w:r>
    </w:p>
    <w:p>
      <w:pPr>
        <w:pStyle w:val="BodyText"/>
        <w:spacing w:before="18"/>
      </w:pPr>
    </w:p>
    <w:p>
      <w:pPr>
        <w:pStyle w:val="BodyText"/>
        <w:spacing w:line="494" w:lineRule="auto"/>
        <w:ind w:left="467" w:right="149" w:firstLine="693"/>
      </w:pPr>
      <w:r>
        <w:rPr>
          <w:w w:val="105"/>
        </w:rPr>
        <w:t>The effects of depression</w:t>
      </w:r>
      <w:r>
        <w:rPr>
          <w:spacing w:val="40"/>
          <w:w w:val="105"/>
        </w:rPr>
        <w:t> </w:t>
      </w:r>
      <w:r>
        <w:rPr>
          <w:w w:val="105"/>
        </w:rPr>
        <w:t>have not only been discussed</w:t>
      </w:r>
      <w:r>
        <w:rPr>
          <w:spacing w:val="40"/>
          <w:w w:val="105"/>
        </w:rPr>
        <w:t> </w:t>
      </w:r>
      <w:r>
        <w:rPr>
          <w:w w:val="105"/>
        </w:rPr>
        <w:t>in terms of one's psychological</w:t>
      </w:r>
      <w:r>
        <w:rPr>
          <w:spacing w:val="31"/>
          <w:w w:val="105"/>
        </w:rPr>
        <w:t> </w:t>
      </w:r>
      <w:r>
        <w:rPr>
          <w:w w:val="105"/>
        </w:rPr>
        <w:t>health, they can also lead to</w:t>
      </w:r>
      <w:r>
        <w:rPr>
          <w:spacing w:val="-9"/>
          <w:w w:val="105"/>
        </w:rPr>
        <w:t> </w:t>
      </w:r>
      <w:r>
        <w:rPr>
          <w:w w:val="105"/>
        </w:rPr>
        <w:t>a</w:t>
      </w:r>
      <w:r>
        <w:rPr>
          <w:spacing w:val="-7"/>
          <w:w w:val="105"/>
        </w:rPr>
        <w:t> </w:t>
      </w:r>
      <w:r>
        <w:rPr>
          <w:w w:val="105"/>
        </w:rPr>
        <w:t>decrease in one's physical</w:t>
      </w:r>
      <w:r>
        <w:rPr>
          <w:spacing w:val="22"/>
          <w:w w:val="105"/>
        </w:rPr>
        <w:t> </w:t>
      </w:r>
      <w:r>
        <w:rPr>
          <w:w w:val="105"/>
        </w:rPr>
        <w:t>health (Penninx et al., 1998).The findings of</w:t>
      </w:r>
      <w:r>
        <w:rPr>
          <w:spacing w:val="-2"/>
          <w:w w:val="105"/>
        </w:rPr>
        <w:t> </w:t>
      </w:r>
      <w:r>
        <w:rPr>
          <w:w w:val="105"/>
        </w:rPr>
        <w:t>the</w:t>
      </w:r>
      <w:r>
        <w:rPr>
          <w:spacing w:val="-2"/>
          <w:w w:val="105"/>
        </w:rPr>
        <w:t> </w:t>
      </w:r>
      <w:r>
        <w:rPr>
          <w:w w:val="105"/>
        </w:rPr>
        <w:t>current study suggest that people diagnosed with FM have more severe depressive symptoms and engage less in leisure activities than their counterparts without FM. Among these individuals, more</w:t>
      </w:r>
      <w:r>
        <w:rPr>
          <w:spacing w:val="-1"/>
          <w:w w:val="105"/>
        </w:rPr>
        <w:t> </w:t>
      </w:r>
      <w:r>
        <w:rPr>
          <w:w w:val="105"/>
        </w:rPr>
        <w:t>engagement</w:t>
      </w:r>
      <w:r>
        <w:rPr>
          <w:spacing w:val="35"/>
          <w:w w:val="105"/>
        </w:rPr>
        <w:t> </w:t>
      </w:r>
      <w:r>
        <w:rPr>
          <w:w w:val="105"/>
        </w:rPr>
        <w:t>in active leisure activities was associated</w:t>
      </w:r>
      <w:r>
        <w:rPr>
          <w:spacing w:val="39"/>
          <w:w w:val="105"/>
        </w:rPr>
        <w:t> </w:t>
      </w:r>
      <w:r>
        <w:rPr>
          <w:w w:val="105"/>
        </w:rPr>
        <w:t>with lower levels of</w:t>
      </w:r>
      <w:r>
        <w:rPr>
          <w:spacing w:val="-1"/>
          <w:w w:val="105"/>
        </w:rPr>
        <w:t> </w:t>
      </w:r>
      <w:r>
        <w:rPr>
          <w:w w:val="105"/>
        </w:rPr>
        <w:t>depression. The current study underscores the importance of leisure activities in persons diagnosed</w:t>
      </w:r>
      <w:r>
        <w:rPr>
          <w:w w:val="105"/>
        </w:rPr>
        <w:t> with FM. The present findings encourage the integration</w:t>
      </w:r>
      <w:r>
        <w:rPr>
          <w:w w:val="105"/>
        </w:rPr>
        <w:t> of</w:t>
      </w:r>
      <w:r>
        <w:rPr>
          <w:spacing w:val="-2"/>
          <w:w w:val="105"/>
        </w:rPr>
        <w:t> </w:t>
      </w:r>
      <w:r>
        <w:rPr>
          <w:w w:val="105"/>
        </w:rPr>
        <w:t>active leisure activities in the</w:t>
      </w:r>
      <w:r>
        <w:rPr>
          <w:spacing w:val="-3"/>
          <w:w w:val="105"/>
        </w:rPr>
        <w:t> </w:t>
      </w:r>
      <w:r>
        <w:rPr>
          <w:w w:val="105"/>
        </w:rPr>
        <w:t>daily routines of individuals with FM.</w:t>
      </w:r>
      <w:r>
        <w:rPr>
          <w:spacing w:val="40"/>
          <w:w w:val="105"/>
        </w:rPr>
        <w:t> </w:t>
      </w:r>
      <w:r>
        <w:rPr>
          <w:w w:val="105"/>
        </w:rPr>
        <w:t>The</w:t>
      </w:r>
      <w:r>
        <w:rPr>
          <w:spacing w:val="-4"/>
          <w:w w:val="105"/>
        </w:rPr>
        <w:t> </w:t>
      </w:r>
      <w:r>
        <w:rPr>
          <w:w w:val="105"/>
        </w:rPr>
        <w:t>study may assist mental</w:t>
      </w:r>
      <w:r>
        <w:rPr>
          <w:spacing w:val="21"/>
          <w:w w:val="105"/>
        </w:rPr>
        <w:t> </w:t>
      </w:r>
      <w:r>
        <w:rPr>
          <w:w w:val="105"/>
        </w:rPr>
        <w:t>health</w:t>
      </w:r>
      <w:r>
        <w:rPr>
          <w:spacing w:val="27"/>
          <w:w w:val="105"/>
        </w:rPr>
        <w:t> </w:t>
      </w:r>
      <w:r>
        <w:rPr>
          <w:w w:val="105"/>
        </w:rPr>
        <w:t>workers and</w:t>
      </w:r>
      <w:r>
        <w:rPr>
          <w:spacing w:val="22"/>
          <w:w w:val="105"/>
        </w:rPr>
        <w:t> </w:t>
      </w:r>
      <w:r>
        <w:rPr>
          <w:w w:val="105"/>
        </w:rPr>
        <w:t>healthcare</w:t>
      </w:r>
      <w:r>
        <w:rPr>
          <w:spacing w:val="28"/>
          <w:w w:val="105"/>
        </w:rPr>
        <w:t> </w:t>
      </w:r>
      <w:r>
        <w:rPr>
          <w:w w:val="105"/>
        </w:rPr>
        <w:t>providers</w:t>
      </w:r>
      <w:r>
        <w:rPr>
          <w:spacing w:val="24"/>
          <w:w w:val="105"/>
        </w:rPr>
        <w:t> </w:t>
      </w:r>
      <w:r>
        <w:rPr>
          <w:w w:val="105"/>
        </w:rPr>
        <w:t>in creating the best care plan for</w:t>
      </w:r>
      <w:r>
        <w:rPr>
          <w:spacing w:val="-3"/>
          <w:w w:val="105"/>
        </w:rPr>
        <w:t> </w:t>
      </w:r>
      <w:r>
        <w:rPr>
          <w:w w:val="105"/>
        </w:rPr>
        <w:t>those with an FM diagnosis. It could also provide those diagnosed</w:t>
      </w:r>
      <w:r>
        <w:rPr>
          <w:spacing w:val="40"/>
          <w:w w:val="105"/>
        </w:rPr>
        <w:t> </w:t>
      </w:r>
      <w:r>
        <w:rPr>
          <w:w w:val="105"/>
        </w:rPr>
        <w:t>with FM with some useful tools to</w:t>
      </w:r>
      <w:r>
        <w:rPr>
          <w:spacing w:val="-5"/>
          <w:w w:val="105"/>
        </w:rPr>
        <w:t> </w:t>
      </w:r>
      <w:r>
        <w:rPr>
          <w:w w:val="105"/>
        </w:rPr>
        <w:t>decrease the possibility of</w:t>
      </w:r>
      <w:r>
        <w:rPr>
          <w:spacing w:val="-2"/>
          <w:w w:val="105"/>
        </w:rPr>
        <w:t> </w:t>
      </w:r>
      <w:r>
        <w:rPr>
          <w:w w:val="105"/>
        </w:rPr>
        <w:t>developing depressive symptoms. Additional</w:t>
      </w:r>
      <w:r>
        <w:rPr>
          <w:spacing w:val="19"/>
          <w:w w:val="105"/>
        </w:rPr>
        <w:t> </w:t>
      </w:r>
      <w:r>
        <w:rPr>
          <w:w w:val="105"/>
        </w:rPr>
        <w:t>research</w:t>
      </w:r>
      <w:r>
        <w:rPr>
          <w:w w:val="105"/>
        </w:rPr>
        <w:t> that</w:t>
      </w:r>
      <w:r>
        <w:rPr>
          <w:spacing w:val="-6"/>
          <w:w w:val="105"/>
        </w:rPr>
        <w:t> </w:t>
      </w:r>
      <w:r>
        <w:rPr>
          <w:w w:val="105"/>
        </w:rPr>
        <w:t>addresses</w:t>
      </w:r>
      <w:r>
        <w:rPr>
          <w:spacing w:val="-4"/>
          <w:w w:val="105"/>
        </w:rPr>
        <w:t> </w:t>
      </w:r>
      <w:r>
        <w:rPr>
          <w:w w:val="105"/>
        </w:rPr>
        <w:t>the limitations of</w:t>
      </w:r>
      <w:r>
        <w:rPr>
          <w:spacing w:val="-7"/>
          <w:w w:val="105"/>
        </w:rPr>
        <w:t> </w:t>
      </w:r>
      <w:r>
        <w:rPr>
          <w:w w:val="105"/>
        </w:rPr>
        <w:t>this</w:t>
      </w:r>
      <w:r>
        <w:rPr>
          <w:spacing w:val="-7"/>
          <w:w w:val="105"/>
        </w:rPr>
        <w:t> </w:t>
      </w:r>
      <w:r>
        <w:rPr>
          <w:w w:val="105"/>
        </w:rPr>
        <w:t>study may help further improve</w:t>
      </w:r>
      <w:r>
        <w:rPr>
          <w:spacing w:val="-3"/>
          <w:w w:val="105"/>
        </w:rPr>
        <w:t> </w:t>
      </w:r>
      <w:r>
        <w:rPr>
          <w:w w:val="105"/>
        </w:rPr>
        <w:t>our understanding of</w:t>
      </w:r>
      <w:r>
        <w:rPr>
          <w:spacing w:val="-11"/>
          <w:w w:val="105"/>
        </w:rPr>
        <w:t> </w:t>
      </w:r>
      <w:r>
        <w:rPr>
          <w:w w:val="105"/>
        </w:rPr>
        <w:t>the</w:t>
      </w:r>
      <w:r>
        <w:rPr>
          <w:spacing w:val="-9"/>
          <w:w w:val="105"/>
        </w:rPr>
        <w:t> </w:t>
      </w:r>
      <w:r>
        <w:rPr>
          <w:w w:val="105"/>
        </w:rPr>
        <w:t>struggles of</w:t>
      </w:r>
      <w:r>
        <w:rPr>
          <w:spacing w:val="-3"/>
          <w:w w:val="105"/>
        </w:rPr>
        <w:t> </w:t>
      </w:r>
      <w:r>
        <w:rPr>
          <w:w w:val="105"/>
        </w:rPr>
        <w:t>people</w:t>
      </w:r>
      <w:r>
        <w:rPr>
          <w:spacing w:val="-2"/>
          <w:w w:val="105"/>
        </w:rPr>
        <w:t> </w:t>
      </w:r>
      <w:r>
        <w:rPr>
          <w:w w:val="105"/>
        </w:rPr>
        <w:t>diagnosed</w:t>
      </w:r>
      <w:r>
        <w:rPr>
          <w:spacing w:val="23"/>
          <w:w w:val="105"/>
        </w:rPr>
        <w:t> </w:t>
      </w:r>
      <w:r>
        <w:rPr>
          <w:w w:val="105"/>
        </w:rPr>
        <w:t>with FM and ways to improve their well being.</w:t>
      </w:r>
    </w:p>
    <w:p>
      <w:pPr>
        <w:spacing w:after="0" w:line="494" w:lineRule="auto"/>
        <w:sectPr>
          <w:headerReference w:type="default" r:id="rId44"/>
          <w:pgSz w:w="12480" w:h="15760"/>
          <w:pgMar w:header="1029" w:footer="0" w:top="1620" w:bottom="280" w:left="1760" w:right="1760"/>
        </w:sectPr>
      </w:pPr>
    </w:p>
    <w:p>
      <w:pPr>
        <w:pStyle w:val="BodyText"/>
      </w:pPr>
    </w:p>
    <w:p>
      <w:pPr>
        <w:pStyle w:val="BodyText"/>
      </w:pPr>
    </w:p>
    <w:p>
      <w:pPr>
        <w:pStyle w:val="BodyText"/>
      </w:pPr>
    </w:p>
    <w:p>
      <w:pPr>
        <w:pStyle w:val="BodyText"/>
        <w:spacing w:before="128"/>
      </w:pPr>
    </w:p>
    <w:p>
      <w:pPr>
        <w:pStyle w:val="BodyText"/>
        <w:spacing w:line="501" w:lineRule="auto" w:before="1"/>
        <w:ind w:left="2807" w:right="1955" w:firstLine="1333"/>
      </w:pPr>
      <w:r>
        <w:rPr>
          <w:spacing w:val="-2"/>
          <w:w w:val="105"/>
        </w:rPr>
        <w:t>APPENDIX </w:t>
      </w:r>
      <w:r>
        <w:rPr>
          <w:w w:val="105"/>
        </w:rPr>
        <w:t>SOCIAL/LEISURE</w:t>
      </w:r>
      <w:r>
        <w:rPr>
          <w:spacing w:val="-5"/>
          <w:w w:val="105"/>
        </w:rPr>
        <w:t> </w:t>
      </w:r>
      <w:r>
        <w:rPr>
          <w:w w:val="105"/>
        </w:rPr>
        <w:t>ACTIVITY SCALE</w:t>
      </w:r>
    </w:p>
    <w:p>
      <w:pPr>
        <w:pStyle w:val="BodyText"/>
      </w:pPr>
    </w:p>
    <w:p>
      <w:pPr>
        <w:spacing w:before="0"/>
        <w:ind w:left="521" w:right="0" w:firstLine="0"/>
        <w:jc w:val="left"/>
        <w:rPr>
          <w:sz w:val="18"/>
        </w:rPr>
      </w:pPr>
      <w:r>
        <w:rPr>
          <w:w w:val="105"/>
          <w:sz w:val="18"/>
        </w:rPr>
        <w:t>On</w:t>
      </w:r>
      <w:r>
        <w:rPr>
          <w:spacing w:val="11"/>
          <w:w w:val="105"/>
          <w:sz w:val="18"/>
        </w:rPr>
        <w:t> </w:t>
      </w:r>
      <w:r>
        <w:rPr>
          <w:w w:val="105"/>
          <w:sz w:val="18"/>
        </w:rPr>
        <w:t>average,</w:t>
      </w:r>
      <w:r>
        <w:rPr>
          <w:spacing w:val="13"/>
          <w:w w:val="105"/>
          <w:sz w:val="18"/>
        </w:rPr>
        <w:t> </w:t>
      </w:r>
      <w:r>
        <w:rPr>
          <w:w w:val="105"/>
          <w:sz w:val="18"/>
        </w:rPr>
        <w:t>how</w:t>
      </w:r>
      <w:r>
        <w:rPr>
          <w:spacing w:val="3"/>
          <w:w w:val="105"/>
          <w:sz w:val="18"/>
        </w:rPr>
        <w:t> </w:t>
      </w:r>
      <w:r>
        <w:rPr>
          <w:w w:val="105"/>
          <w:sz w:val="18"/>
        </w:rPr>
        <w:t>often</w:t>
      </w:r>
      <w:r>
        <w:rPr>
          <w:spacing w:val="7"/>
          <w:w w:val="105"/>
          <w:sz w:val="18"/>
        </w:rPr>
        <w:t> </w:t>
      </w:r>
      <w:r>
        <w:rPr>
          <w:w w:val="105"/>
          <w:sz w:val="18"/>
        </w:rPr>
        <w:t>do</w:t>
      </w:r>
      <w:r>
        <w:rPr>
          <w:spacing w:val="6"/>
          <w:w w:val="105"/>
          <w:sz w:val="18"/>
        </w:rPr>
        <w:t> </w:t>
      </w:r>
      <w:r>
        <w:rPr>
          <w:w w:val="105"/>
          <w:sz w:val="18"/>
        </w:rPr>
        <w:t>you</w:t>
      </w:r>
      <w:r>
        <w:rPr>
          <w:spacing w:val="10"/>
          <w:w w:val="105"/>
          <w:sz w:val="18"/>
        </w:rPr>
        <w:t> </w:t>
      </w:r>
      <w:r>
        <w:rPr>
          <w:w w:val="105"/>
          <w:sz w:val="18"/>
        </w:rPr>
        <w:t>do</w:t>
      </w:r>
      <w:r>
        <w:rPr>
          <w:spacing w:val="10"/>
          <w:w w:val="105"/>
          <w:sz w:val="18"/>
        </w:rPr>
        <w:t> </w:t>
      </w:r>
      <w:r>
        <w:rPr>
          <w:w w:val="105"/>
          <w:sz w:val="18"/>
        </w:rPr>
        <w:t>each</w:t>
      </w:r>
      <w:r>
        <w:rPr>
          <w:spacing w:val="12"/>
          <w:w w:val="105"/>
          <w:sz w:val="18"/>
        </w:rPr>
        <w:t> </w:t>
      </w:r>
      <w:r>
        <w:rPr>
          <w:w w:val="105"/>
          <w:sz w:val="18"/>
        </w:rPr>
        <w:t>of</w:t>
      </w:r>
      <w:r>
        <w:rPr>
          <w:spacing w:val="-4"/>
          <w:w w:val="105"/>
          <w:sz w:val="18"/>
        </w:rPr>
        <w:t> </w:t>
      </w:r>
      <w:r>
        <w:rPr>
          <w:w w:val="105"/>
          <w:sz w:val="18"/>
        </w:rPr>
        <w:t>the</w:t>
      </w:r>
      <w:r>
        <w:rPr>
          <w:spacing w:val="7"/>
          <w:w w:val="105"/>
          <w:sz w:val="18"/>
        </w:rPr>
        <w:t> </w:t>
      </w:r>
      <w:r>
        <w:rPr>
          <w:spacing w:val="-2"/>
          <w:w w:val="105"/>
          <w:sz w:val="18"/>
        </w:rPr>
        <w:t>following?</w:t>
      </w:r>
    </w:p>
    <w:p>
      <w:pPr>
        <w:pStyle w:val="BodyText"/>
        <w:rPr>
          <w:sz w:val="19"/>
        </w:rPr>
      </w:pPr>
    </w:p>
    <w:tbl>
      <w:tblPr>
        <w:tblW w:w="0" w:type="auto"/>
        <w:jc w:val="left"/>
        <w:tblInd w:w="5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42"/>
        <w:gridCol w:w="3572"/>
        <w:gridCol w:w="875"/>
        <w:gridCol w:w="880"/>
        <w:gridCol w:w="789"/>
        <w:gridCol w:w="880"/>
        <w:gridCol w:w="962"/>
      </w:tblGrid>
      <w:tr>
        <w:trPr>
          <w:trHeight w:val="864" w:hRule="atLeast"/>
        </w:trPr>
        <w:tc>
          <w:tcPr>
            <w:tcW w:w="442" w:type="dxa"/>
          </w:tcPr>
          <w:p>
            <w:pPr>
              <w:pStyle w:val="TableParagraph"/>
              <w:rPr>
                <w:sz w:val="18"/>
              </w:rPr>
            </w:pPr>
          </w:p>
        </w:tc>
        <w:tc>
          <w:tcPr>
            <w:tcW w:w="3572" w:type="dxa"/>
          </w:tcPr>
          <w:p>
            <w:pPr>
              <w:pStyle w:val="TableParagraph"/>
              <w:rPr>
                <w:sz w:val="18"/>
              </w:rPr>
            </w:pPr>
          </w:p>
        </w:tc>
        <w:tc>
          <w:tcPr>
            <w:tcW w:w="875" w:type="dxa"/>
          </w:tcPr>
          <w:p>
            <w:pPr>
              <w:pStyle w:val="TableParagraph"/>
              <w:rPr>
                <w:sz w:val="18"/>
              </w:rPr>
            </w:pPr>
          </w:p>
          <w:p>
            <w:pPr>
              <w:pStyle w:val="TableParagraph"/>
              <w:rPr>
                <w:sz w:val="18"/>
              </w:rPr>
            </w:pPr>
          </w:p>
          <w:p>
            <w:pPr>
              <w:pStyle w:val="TableParagraph"/>
              <w:spacing w:before="39"/>
              <w:rPr>
                <w:sz w:val="18"/>
              </w:rPr>
            </w:pPr>
          </w:p>
          <w:p>
            <w:pPr>
              <w:pStyle w:val="TableParagraph"/>
              <w:spacing w:line="184" w:lineRule="exact"/>
              <w:ind w:left="47" w:right="23"/>
              <w:jc w:val="center"/>
              <w:rPr>
                <w:sz w:val="18"/>
              </w:rPr>
            </w:pPr>
            <w:r>
              <w:rPr>
                <w:spacing w:val="-2"/>
                <w:w w:val="105"/>
                <w:sz w:val="18"/>
              </w:rPr>
              <w:t>Never</w:t>
            </w:r>
          </w:p>
        </w:tc>
        <w:tc>
          <w:tcPr>
            <w:tcW w:w="880" w:type="dxa"/>
          </w:tcPr>
          <w:p>
            <w:pPr>
              <w:pStyle w:val="TableParagraph"/>
              <w:spacing w:line="249" w:lineRule="auto" w:before="12"/>
              <w:ind w:left="195" w:right="162" w:firstLine="79"/>
              <w:jc w:val="both"/>
              <w:rPr>
                <w:sz w:val="18"/>
              </w:rPr>
            </w:pPr>
            <w:r>
              <w:rPr>
                <w:spacing w:val="-4"/>
                <w:w w:val="105"/>
                <w:sz w:val="18"/>
              </w:rPr>
              <w:t>Less than </w:t>
            </w:r>
            <w:r>
              <w:rPr>
                <w:w w:val="105"/>
                <w:sz w:val="18"/>
              </w:rPr>
              <w:t>once</w:t>
            </w:r>
            <w:r>
              <w:rPr>
                <w:spacing w:val="10"/>
                <w:w w:val="105"/>
                <w:sz w:val="18"/>
              </w:rPr>
              <w:t> </w:t>
            </w:r>
            <w:r>
              <w:rPr>
                <w:spacing w:val="-12"/>
                <w:w w:val="105"/>
                <w:sz w:val="18"/>
              </w:rPr>
              <w:t>a</w:t>
            </w:r>
          </w:p>
          <w:p>
            <w:pPr>
              <w:pStyle w:val="TableParagraph"/>
              <w:spacing w:line="184" w:lineRule="exact" w:before="3"/>
              <w:ind w:left="209"/>
              <w:rPr>
                <w:sz w:val="18"/>
              </w:rPr>
            </w:pPr>
            <w:r>
              <w:rPr>
                <w:spacing w:val="-2"/>
                <w:w w:val="105"/>
                <w:sz w:val="18"/>
              </w:rPr>
              <w:t>month</w:t>
            </w:r>
          </w:p>
        </w:tc>
        <w:tc>
          <w:tcPr>
            <w:tcW w:w="789" w:type="dxa"/>
          </w:tcPr>
          <w:p>
            <w:pPr>
              <w:pStyle w:val="TableParagraph"/>
              <w:spacing w:before="21"/>
              <w:rPr>
                <w:sz w:val="18"/>
              </w:rPr>
            </w:pPr>
          </w:p>
          <w:p>
            <w:pPr>
              <w:pStyle w:val="TableParagraph"/>
              <w:ind w:left="49" w:right="1"/>
              <w:jc w:val="center"/>
              <w:rPr>
                <w:sz w:val="18"/>
              </w:rPr>
            </w:pPr>
            <w:r>
              <w:rPr>
                <w:sz w:val="18"/>
              </w:rPr>
              <w:t>1-</w:t>
            </w:r>
            <w:r>
              <w:rPr>
                <w:spacing w:val="-10"/>
                <w:sz w:val="18"/>
              </w:rPr>
              <w:t>3</w:t>
            </w:r>
          </w:p>
          <w:p>
            <w:pPr>
              <w:pStyle w:val="TableParagraph"/>
              <w:spacing w:line="210" w:lineRule="atLeast"/>
              <w:ind w:left="49" w:right="7"/>
              <w:jc w:val="center"/>
              <w:rPr>
                <w:sz w:val="18"/>
              </w:rPr>
            </w:pPr>
            <w:r>
              <w:rPr>
                <w:w w:val="105"/>
                <w:sz w:val="18"/>
              </w:rPr>
              <w:t>times</w:t>
            </w:r>
            <w:r>
              <w:rPr>
                <w:spacing w:val="-12"/>
                <w:w w:val="105"/>
                <w:sz w:val="18"/>
              </w:rPr>
              <w:t> </w:t>
            </w:r>
            <w:r>
              <w:rPr>
                <w:w w:val="105"/>
                <w:sz w:val="18"/>
              </w:rPr>
              <w:t>a </w:t>
            </w:r>
            <w:r>
              <w:rPr>
                <w:spacing w:val="-2"/>
                <w:w w:val="105"/>
                <w:sz w:val="18"/>
              </w:rPr>
              <w:t>month</w:t>
            </w:r>
          </w:p>
        </w:tc>
        <w:tc>
          <w:tcPr>
            <w:tcW w:w="880" w:type="dxa"/>
          </w:tcPr>
          <w:p>
            <w:pPr>
              <w:pStyle w:val="TableParagraph"/>
              <w:spacing w:before="7"/>
              <w:rPr>
                <w:sz w:val="18"/>
              </w:rPr>
            </w:pPr>
          </w:p>
          <w:p>
            <w:pPr>
              <w:pStyle w:val="TableParagraph"/>
              <w:spacing w:line="210" w:lineRule="atLeast"/>
              <w:ind w:left="189" w:right="164" w:firstLine="14"/>
              <w:jc w:val="both"/>
              <w:rPr>
                <w:sz w:val="18"/>
              </w:rPr>
            </w:pPr>
            <w:r>
              <w:rPr>
                <w:spacing w:val="-2"/>
                <w:w w:val="105"/>
                <w:sz w:val="18"/>
              </w:rPr>
              <w:t>About </w:t>
            </w:r>
            <w:r>
              <w:rPr>
                <w:w w:val="105"/>
                <w:sz w:val="18"/>
              </w:rPr>
              <w:t>once</w:t>
            </w:r>
            <w:r>
              <w:rPr>
                <w:spacing w:val="-12"/>
                <w:w w:val="105"/>
                <w:sz w:val="18"/>
              </w:rPr>
              <w:t> </w:t>
            </w:r>
            <w:r>
              <w:rPr>
                <w:w w:val="105"/>
                <w:sz w:val="18"/>
              </w:rPr>
              <w:t>a </w:t>
            </w:r>
            <w:r>
              <w:rPr>
                <w:spacing w:val="-4"/>
                <w:w w:val="105"/>
                <w:sz w:val="18"/>
              </w:rPr>
              <w:t>week</w:t>
            </w:r>
          </w:p>
        </w:tc>
        <w:tc>
          <w:tcPr>
            <w:tcW w:w="962" w:type="dxa"/>
          </w:tcPr>
          <w:p>
            <w:pPr>
              <w:pStyle w:val="TableParagraph"/>
              <w:spacing w:before="7"/>
              <w:rPr>
                <w:sz w:val="18"/>
              </w:rPr>
            </w:pPr>
          </w:p>
          <w:p>
            <w:pPr>
              <w:pStyle w:val="TableParagraph"/>
              <w:spacing w:line="210" w:lineRule="atLeast"/>
              <w:ind w:left="112" w:right="87" w:firstLine="8"/>
              <w:jc w:val="center"/>
              <w:rPr>
                <w:sz w:val="18"/>
              </w:rPr>
            </w:pPr>
            <w:r>
              <w:rPr>
                <w:spacing w:val="-4"/>
                <w:w w:val="105"/>
                <w:sz w:val="18"/>
              </w:rPr>
              <w:t>More</w:t>
            </w:r>
            <w:r>
              <w:rPr>
                <w:spacing w:val="40"/>
                <w:w w:val="105"/>
                <w:sz w:val="18"/>
              </w:rPr>
              <w:t> </w:t>
            </w:r>
            <w:r>
              <w:rPr>
                <w:w w:val="105"/>
                <w:sz w:val="18"/>
              </w:rPr>
              <w:t>than</w:t>
            </w:r>
            <w:r>
              <w:rPr>
                <w:spacing w:val="-12"/>
                <w:w w:val="105"/>
                <w:sz w:val="18"/>
              </w:rPr>
              <w:t> </w:t>
            </w:r>
            <w:r>
              <w:rPr>
                <w:w w:val="105"/>
                <w:sz w:val="18"/>
              </w:rPr>
              <w:t>once a week</w:t>
            </w:r>
          </w:p>
        </w:tc>
      </w:tr>
      <w:tr>
        <w:trPr>
          <w:trHeight w:val="388" w:hRule="atLeast"/>
        </w:trPr>
        <w:tc>
          <w:tcPr>
            <w:tcW w:w="442" w:type="dxa"/>
          </w:tcPr>
          <w:p>
            <w:pPr>
              <w:pStyle w:val="TableParagraph"/>
              <w:spacing w:before="98"/>
              <w:ind w:left="66" w:right="23"/>
              <w:jc w:val="center"/>
              <w:rPr>
                <w:sz w:val="18"/>
              </w:rPr>
            </w:pPr>
            <w:r>
              <w:rPr>
                <w:spacing w:val="-10"/>
                <w:sz w:val="18"/>
              </w:rPr>
              <w:t>1</w:t>
            </w:r>
          </w:p>
        </w:tc>
        <w:tc>
          <w:tcPr>
            <w:tcW w:w="3572" w:type="dxa"/>
          </w:tcPr>
          <w:p>
            <w:pPr>
              <w:pStyle w:val="TableParagraph"/>
              <w:spacing w:before="98"/>
              <w:ind w:left="128"/>
              <w:rPr>
                <w:sz w:val="18"/>
              </w:rPr>
            </w:pPr>
            <w:r>
              <w:rPr>
                <w:w w:val="105"/>
                <w:sz w:val="18"/>
              </w:rPr>
              <w:t>Visit</w:t>
            </w:r>
            <w:r>
              <w:rPr>
                <w:spacing w:val="5"/>
                <w:w w:val="105"/>
                <w:sz w:val="18"/>
              </w:rPr>
              <w:t> </w:t>
            </w:r>
            <w:r>
              <w:rPr>
                <w:w w:val="105"/>
                <w:sz w:val="18"/>
              </w:rPr>
              <w:t>with</w:t>
            </w:r>
            <w:r>
              <w:rPr>
                <w:spacing w:val="11"/>
                <w:w w:val="105"/>
                <w:sz w:val="18"/>
              </w:rPr>
              <w:t> </w:t>
            </w:r>
            <w:r>
              <w:rPr>
                <w:w w:val="105"/>
                <w:sz w:val="18"/>
              </w:rPr>
              <w:t>friends,</w:t>
            </w:r>
            <w:r>
              <w:rPr>
                <w:spacing w:val="8"/>
                <w:w w:val="105"/>
                <w:sz w:val="18"/>
              </w:rPr>
              <w:t> </w:t>
            </w:r>
            <w:r>
              <w:rPr>
                <w:spacing w:val="-2"/>
                <w:w w:val="105"/>
                <w:sz w:val="18"/>
              </w:rPr>
              <w:t>neighbors?</w:t>
            </w:r>
          </w:p>
        </w:tc>
        <w:tc>
          <w:tcPr>
            <w:tcW w:w="875" w:type="dxa"/>
          </w:tcPr>
          <w:p>
            <w:pPr>
              <w:pStyle w:val="TableParagraph"/>
              <w:spacing w:before="98"/>
              <w:ind w:left="47" w:right="22"/>
              <w:jc w:val="center"/>
              <w:rPr>
                <w:sz w:val="18"/>
              </w:rPr>
            </w:pPr>
            <w:r>
              <w:rPr>
                <w:spacing w:val="-10"/>
                <w:sz w:val="18"/>
              </w:rPr>
              <w:t>1</w:t>
            </w:r>
          </w:p>
        </w:tc>
        <w:tc>
          <w:tcPr>
            <w:tcW w:w="880" w:type="dxa"/>
          </w:tcPr>
          <w:p>
            <w:pPr>
              <w:pStyle w:val="TableParagraph"/>
              <w:spacing w:before="98"/>
              <w:ind w:left="49" w:right="8"/>
              <w:jc w:val="center"/>
              <w:rPr>
                <w:sz w:val="18"/>
              </w:rPr>
            </w:pPr>
            <w:r>
              <w:rPr>
                <w:spacing w:val="-10"/>
                <w:w w:val="110"/>
                <w:sz w:val="18"/>
              </w:rPr>
              <w:t>2</w:t>
            </w:r>
          </w:p>
        </w:tc>
        <w:tc>
          <w:tcPr>
            <w:tcW w:w="789" w:type="dxa"/>
          </w:tcPr>
          <w:p>
            <w:pPr>
              <w:pStyle w:val="TableParagraph"/>
              <w:spacing w:before="103"/>
              <w:ind w:left="49" w:right="1"/>
              <w:jc w:val="center"/>
              <w:rPr>
                <w:sz w:val="18"/>
              </w:rPr>
            </w:pPr>
            <w:r>
              <w:rPr>
                <w:spacing w:val="-10"/>
                <w:w w:val="110"/>
                <w:sz w:val="18"/>
              </w:rPr>
              <w:t>3</w:t>
            </w:r>
          </w:p>
        </w:tc>
        <w:tc>
          <w:tcPr>
            <w:tcW w:w="880" w:type="dxa"/>
          </w:tcPr>
          <w:p>
            <w:pPr>
              <w:pStyle w:val="TableParagraph"/>
              <w:spacing w:before="98"/>
              <w:ind w:left="49" w:right="20"/>
              <w:jc w:val="center"/>
              <w:rPr>
                <w:sz w:val="18"/>
              </w:rPr>
            </w:pPr>
            <w:r>
              <w:rPr>
                <w:spacing w:val="-10"/>
                <w:w w:val="105"/>
                <w:sz w:val="18"/>
              </w:rPr>
              <w:t>4</w:t>
            </w:r>
          </w:p>
        </w:tc>
        <w:tc>
          <w:tcPr>
            <w:tcW w:w="962" w:type="dxa"/>
          </w:tcPr>
          <w:p>
            <w:pPr>
              <w:pStyle w:val="TableParagraph"/>
              <w:spacing w:before="108"/>
              <w:ind w:left="37" w:right="16"/>
              <w:jc w:val="center"/>
              <w:rPr>
                <w:sz w:val="18"/>
              </w:rPr>
            </w:pPr>
            <w:r>
              <w:rPr>
                <w:spacing w:val="-10"/>
                <w:w w:val="105"/>
                <w:sz w:val="18"/>
              </w:rPr>
              <w:t>5</w:t>
            </w:r>
          </w:p>
        </w:tc>
      </w:tr>
      <w:tr>
        <w:trPr>
          <w:trHeight w:val="388" w:hRule="atLeast"/>
        </w:trPr>
        <w:tc>
          <w:tcPr>
            <w:tcW w:w="442" w:type="dxa"/>
          </w:tcPr>
          <w:p>
            <w:pPr>
              <w:pStyle w:val="TableParagraph"/>
              <w:spacing w:before="103"/>
              <w:ind w:left="66" w:right="29"/>
              <w:jc w:val="center"/>
              <w:rPr>
                <w:sz w:val="18"/>
              </w:rPr>
            </w:pPr>
            <w:r>
              <w:rPr>
                <w:spacing w:val="-10"/>
                <w:w w:val="110"/>
                <w:sz w:val="18"/>
              </w:rPr>
              <w:t>2</w:t>
            </w:r>
          </w:p>
        </w:tc>
        <w:tc>
          <w:tcPr>
            <w:tcW w:w="3572" w:type="dxa"/>
          </w:tcPr>
          <w:p>
            <w:pPr>
              <w:pStyle w:val="TableParagraph"/>
              <w:spacing w:before="103"/>
              <w:ind w:left="123"/>
              <w:rPr>
                <w:sz w:val="18"/>
              </w:rPr>
            </w:pPr>
            <w:r>
              <w:rPr>
                <w:w w:val="105"/>
                <w:sz w:val="18"/>
              </w:rPr>
              <w:t>Visit</w:t>
            </w:r>
            <w:r>
              <w:rPr>
                <w:spacing w:val="4"/>
                <w:w w:val="105"/>
                <w:sz w:val="18"/>
              </w:rPr>
              <w:t> </w:t>
            </w:r>
            <w:r>
              <w:rPr>
                <w:w w:val="105"/>
                <w:sz w:val="18"/>
              </w:rPr>
              <w:t>with </w:t>
            </w:r>
            <w:r>
              <w:rPr>
                <w:spacing w:val="-2"/>
                <w:w w:val="105"/>
                <w:sz w:val="18"/>
              </w:rPr>
              <w:t>relatives?</w:t>
            </w:r>
          </w:p>
        </w:tc>
        <w:tc>
          <w:tcPr>
            <w:tcW w:w="875" w:type="dxa"/>
          </w:tcPr>
          <w:p>
            <w:pPr>
              <w:pStyle w:val="TableParagraph"/>
              <w:spacing w:before="103"/>
              <w:ind w:left="47" w:right="23"/>
              <w:jc w:val="center"/>
              <w:rPr>
                <w:sz w:val="18"/>
              </w:rPr>
            </w:pPr>
            <w:r>
              <w:rPr>
                <w:spacing w:val="-10"/>
                <w:sz w:val="18"/>
              </w:rPr>
              <w:t>1</w:t>
            </w:r>
          </w:p>
        </w:tc>
        <w:tc>
          <w:tcPr>
            <w:tcW w:w="880" w:type="dxa"/>
          </w:tcPr>
          <w:p>
            <w:pPr>
              <w:pStyle w:val="TableParagraph"/>
              <w:spacing w:before="98"/>
              <w:ind w:left="49" w:right="17"/>
              <w:jc w:val="center"/>
              <w:rPr>
                <w:sz w:val="18"/>
              </w:rPr>
            </w:pPr>
            <w:r>
              <w:rPr>
                <w:spacing w:val="-10"/>
                <w:w w:val="110"/>
                <w:sz w:val="18"/>
              </w:rPr>
              <w:t>2</w:t>
            </w:r>
          </w:p>
        </w:tc>
        <w:tc>
          <w:tcPr>
            <w:tcW w:w="789" w:type="dxa"/>
          </w:tcPr>
          <w:p>
            <w:pPr>
              <w:pStyle w:val="TableParagraph"/>
              <w:spacing w:before="108"/>
              <w:ind w:left="49" w:right="11"/>
              <w:jc w:val="center"/>
              <w:rPr>
                <w:sz w:val="18"/>
              </w:rPr>
            </w:pPr>
            <w:r>
              <w:rPr>
                <w:spacing w:val="-10"/>
                <w:w w:val="110"/>
                <w:sz w:val="18"/>
              </w:rPr>
              <w:t>3</w:t>
            </w:r>
          </w:p>
        </w:tc>
        <w:tc>
          <w:tcPr>
            <w:tcW w:w="880" w:type="dxa"/>
          </w:tcPr>
          <w:p>
            <w:pPr>
              <w:pStyle w:val="TableParagraph"/>
              <w:spacing w:before="98"/>
              <w:ind w:left="49" w:right="27"/>
              <w:jc w:val="center"/>
              <w:rPr>
                <w:sz w:val="18"/>
              </w:rPr>
            </w:pPr>
            <w:r>
              <w:rPr>
                <w:spacing w:val="-10"/>
                <w:w w:val="110"/>
                <w:sz w:val="18"/>
              </w:rPr>
              <w:t>4</w:t>
            </w:r>
          </w:p>
        </w:tc>
        <w:tc>
          <w:tcPr>
            <w:tcW w:w="962" w:type="dxa"/>
          </w:tcPr>
          <w:p>
            <w:pPr>
              <w:pStyle w:val="TableParagraph"/>
              <w:spacing w:before="108"/>
              <w:ind w:left="37" w:right="12"/>
              <w:jc w:val="center"/>
              <w:rPr>
                <w:sz w:val="18"/>
              </w:rPr>
            </w:pPr>
            <w:r>
              <w:rPr>
                <w:spacing w:val="-10"/>
                <w:w w:val="110"/>
                <w:sz w:val="18"/>
              </w:rPr>
              <w:t>5</w:t>
            </w:r>
          </w:p>
        </w:tc>
      </w:tr>
      <w:tr>
        <w:trPr>
          <w:trHeight w:val="393" w:hRule="atLeast"/>
        </w:trPr>
        <w:tc>
          <w:tcPr>
            <w:tcW w:w="442" w:type="dxa"/>
          </w:tcPr>
          <w:p>
            <w:pPr>
              <w:pStyle w:val="TableParagraph"/>
              <w:spacing w:before="113"/>
              <w:ind w:left="66" w:right="26"/>
              <w:jc w:val="center"/>
              <w:rPr>
                <w:sz w:val="18"/>
              </w:rPr>
            </w:pPr>
            <w:r>
              <w:rPr>
                <w:spacing w:val="-10"/>
                <w:w w:val="110"/>
                <w:sz w:val="18"/>
              </w:rPr>
              <w:t>3</w:t>
            </w:r>
          </w:p>
        </w:tc>
        <w:tc>
          <w:tcPr>
            <w:tcW w:w="3572" w:type="dxa"/>
          </w:tcPr>
          <w:p>
            <w:pPr>
              <w:pStyle w:val="TableParagraph"/>
              <w:spacing w:before="108"/>
              <w:ind w:left="113"/>
              <w:rPr>
                <w:sz w:val="18"/>
              </w:rPr>
            </w:pPr>
            <w:r>
              <w:rPr>
                <w:w w:val="105"/>
                <w:sz w:val="18"/>
              </w:rPr>
              <w:t>Go</w:t>
            </w:r>
            <w:r>
              <w:rPr>
                <w:spacing w:val="4"/>
                <w:w w:val="105"/>
                <w:sz w:val="18"/>
              </w:rPr>
              <w:t> </w:t>
            </w:r>
            <w:r>
              <w:rPr>
                <w:w w:val="105"/>
                <w:sz w:val="18"/>
              </w:rPr>
              <w:t>to</w:t>
            </w:r>
            <w:r>
              <w:rPr>
                <w:spacing w:val="4"/>
                <w:w w:val="105"/>
                <w:sz w:val="18"/>
              </w:rPr>
              <w:t> </w:t>
            </w:r>
            <w:r>
              <w:rPr>
                <w:w w:val="105"/>
                <w:sz w:val="18"/>
              </w:rPr>
              <w:t>the</w:t>
            </w:r>
            <w:r>
              <w:rPr>
                <w:spacing w:val="11"/>
                <w:w w:val="105"/>
                <w:sz w:val="18"/>
              </w:rPr>
              <w:t> </w:t>
            </w:r>
            <w:r>
              <w:rPr>
                <w:spacing w:val="-2"/>
                <w:w w:val="105"/>
                <w:sz w:val="18"/>
              </w:rPr>
              <w:t>movies?</w:t>
            </w:r>
          </w:p>
        </w:tc>
        <w:tc>
          <w:tcPr>
            <w:tcW w:w="875" w:type="dxa"/>
          </w:tcPr>
          <w:p>
            <w:pPr>
              <w:pStyle w:val="TableParagraph"/>
              <w:spacing w:before="108"/>
              <w:ind w:left="47" w:right="14"/>
              <w:jc w:val="center"/>
              <w:rPr>
                <w:sz w:val="18"/>
              </w:rPr>
            </w:pPr>
            <w:r>
              <w:rPr>
                <w:spacing w:val="-10"/>
                <w:w w:val="110"/>
                <w:sz w:val="18"/>
              </w:rPr>
              <w:t>1</w:t>
            </w:r>
          </w:p>
        </w:tc>
        <w:tc>
          <w:tcPr>
            <w:tcW w:w="880" w:type="dxa"/>
          </w:tcPr>
          <w:p>
            <w:pPr>
              <w:pStyle w:val="TableParagraph"/>
              <w:spacing w:before="108"/>
              <w:ind w:left="49" w:right="13"/>
              <w:jc w:val="center"/>
              <w:rPr>
                <w:sz w:val="18"/>
              </w:rPr>
            </w:pPr>
            <w:r>
              <w:rPr>
                <w:spacing w:val="-10"/>
                <w:sz w:val="18"/>
              </w:rPr>
              <w:t>2</w:t>
            </w:r>
          </w:p>
        </w:tc>
        <w:tc>
          <w:tcPr>
            <w:tcW w:w="789" w:type="dxa"/>
          </w:tcPr>
          <w:p>
            <w:pPr>
              <w:pStyle w:val="TableParagraph"/>
              <w:spacing w:before="113"/>
              <w:ind w:left="49" w:right="16"/>
              <w:jc w:val="center"/>
              <w:rPr>
                <w:sz w:val="18"/>
              </w:rPr>
            </w:pPr>
            <w:r>
              <w:rPr>
                <w:spacing w:val="-10"/>
                <w:sz w:val="18"/>
              </w:rPr>
              <w:t>3</w:t>
            </w:r>
          </w:p>
        </w:tc>
        <w:tc>
          <w:tcPr>
            <w:tcW w:w="880" w:type="dxa"/>
          </w:tcPr>
          <w:p>
            <w:pPr>
              <w:pStyle w:val="TableParagraph"/>
              <w:spacing w:before="103"/>
              <w:ind w:left="49" w:right="32"/>
              <w:jc w:val="center"/>
              <w:rPr>
                <w:sz w:val="18"/>
              </w:rPr>
            </w:pPr>
            <w:r>
              <w:rPr>
                <w:spacing w:val="-10"/>
                <w:sz w:val="18"/>
              </w:rPr>
              <w:t>4</w:t>
            </w:r>
          </w:p>
        </w:tc>
        <w:tc>
          <w:tcPr>
            <w:tcW w:w="962" w:type="dxa"/>
          </w:tcPr>
          <w:p>
            <w:pPr>
              <w:pStyle w:val="TableParagraph"/>
              <w:spacing w:before="113"/>
              <w:ind w:left="37" w:right="18"/>
              <w:jc w:val="center"/>
              <w:rPr>
                <w:sz w:val="18"/>
              </w:rPr>
            </w:pPr>
            <w:r>
              <w:rPr>
                <w:spacing w:val="-10"/>
                <w:sz w:val="18"/>
              </w:rPr>
              <w:t>5</w:t>
            </w:r>
          </w:p>
        </w:tc>
      </w:tr>
      <w:tr>
        <w:trPr>
          <w:trHeight w:val="393" w:hRule="atLeast"/>
        </w:trPr>
        <w:tc>
          <w:tcPr>
            <w:tcW w:w="442" w:type="dxa"/>
          </w:tcPr>
          <w:p>
            <w:pPr>
              <w:pStyle w:val="TableParagraph"/>
              <w:spacing w:before="108"/>
              <w:ind w:left="66" w:right="21"/>
              <w:jc w:val="center"/>
              <w:rPr>
                <w:sz w:val="18"/>
              </w:rPr>
            </w:pPr>
            <w:r>
              <w:rPr>
                <w:spacing w:val="-10"/>
                <w:w w:val="105"/>
                <w:sz w:val="18"/>
              </w:rPr>
              <w:t>4</w:t>
            </w:r>
          </w:p>
        </w:tc>
        <w:tc>
          <w:tcPr>
            <w:tcW w:w="3572" w:type="dxa"/>
          </w:tcPr>
          <w:p>
            <w:pPr>
              <w:pStyle w:val="TableParagraph"/>
              <w:spacing w:before="108"/>
              <w:ind w:left="118"/>
              <w:rPr>
                <w:sz w:val="18"/>
              </w:rPr>
            </w:pPr>
            <w:r>
              <w:rPr>
                <w:w w:val="105"/>
                <w:sz w:val="18"/>
              </w:rPr>
              <w:t>Go</w:t>
            </w:r>
            <w:r>
              <w:rPr>
                <w:spacing w:val="-4"/>
                <w:w w:val="105"/>
                <w:sz w:val="18"/>
              </w:rPr>
              <w:t> </w:t>
            </w:r>
            <w:r>
              <w:rPr>
                <w:w w:val="105"/>
                <w:sz w:val="18"/>
              </w:rPr>
              <w:t>to</w:t>
            </w:r>
            <w:r>
              <w:rPr>
                <w:spacing w:val="6"/>
                <w:w w:val="105"/>
                <w:sz w:val="18"/>
              </w:rPr>
              <w:t> </w:t>
            </w:r>
            <w:r>
              <w:rPr>
                <w:w w:val="105"/>
                <w:sz w:val="18"/>
              </w:rPr>
              <w:t>watch</w:t>
            </w:r>
            <w:r>
              <w:rPr>
                <w:spacing w:val="18"/>
                <w:w w:val="105"/>
                <w:sz w:val="18"/>
              </w:rPr>
              <w:t> </w:t>
            </w:r>
            <w:r>
              <w:rPr>
                <w:w w:val="105"/>
                <w:sz w:val="18"/>
              </w:rPr>
              <w:t>sports </w:t>
            </w:r>
            <w:r>
              <w:rPr>
                <w:spacing w:val="-2"/>
                <w:w w:val="105"/>
                <w:sz w:val="18"/>
              </w:rPr>
              <w:t>events?</w:t>
            </w:r>
          </w:p>
        </w:tc>
        <w:tc>
          <w:tcPr>
            <w:tcW w:w="875" w:type="dxa"/>
          </w:tcPr>
          <w:p>
            <w:pPr>
              <w:pStyle w:val="TableParagraph"/>
              <w:spacing w:before="98"/>
              <w:ind w:left="47" w:right="22"/>
              <w:jc w:val="center"/>
              <w:rPr>
                <w:sz w:val="19"/>
              </w:rPr>
            </w:pPr>
            <w:r>
              <w:rPr>
                <w:spacing w:val="-10"/>
                <w:w w:val="90"/>
                <w:sz w:val="19"/>
              </w:rPr>
              <w:t>I</w:t>
            </w:r>
          </w:p>
        </w:tc>
        <w:tc>
          <w:tcPr>
            <w:tcW w:w="880" w:type="dxa"/>
          </w:tcPr>
          <w:p>
            <w:pPr>
              <w:pStyle w:val="TableParagraph"/>
              <w:spacing w:before="108"/>
              <w:ind w:left="49" w:right="13"/>
              <w:jc w:val="center"/>
              <w:rPr>
                <w:sz w:val="18"/>
              </w:rPr>
            </w:pPr>
            <w:r>
              <w:rPr>
                <w:spacing w:val="-10"/>
                <w:sz w:val="18"/>
              </w:rPr>
              <w:t>2</w:t>
            </w:r>
          </w:p>
        </w:tc>
        <w:tc>
          <w:tcPr>
            <w:tcW w:w="789" w:type="dxa"/>
          </w:tcPr>
          <w:p>
            <w:pPr>
              <w:pStyle w:val="TableParagraph"/>
              <w:spacing w:before="113"/>
              <w:ind w:left="49" w:right="16"/>
              <w:jc w:val="center"/>
              <w:rPr>
                <w:sz w:val="18"/>
              </w:rPr>
            </w:pPr>
            <w:r>
              <w:rPr>
                <w:spacing w:val="-10"/>
                <w:sz w:val="18"/>
              </w:rPr>
              <w:t>3</w:t>
            </w:r>
          </w:p>
        </w:tc>
        <w:tc>
          <w:tcPr>
            <w:tcW w:w="880" w:type="dxa"/>
          </w:tcPr>
          <w:p>
            <w:pPr>
              <w:pStyle w:val="TableParagraph"/>
              <w:spacing w:before="103"/>
              <w:ind w:left="49" w:right="32"/>
              <w:jc w:val="center"/>
              <w:rPr>
                <w:sz w:val="18"/>
              </w:rPr>
            </w:pPr>
            <w:r>
              <w:rPr>
                <w:spacing w:val="-10"/>
                <w:sz w:val="18"/>
              </w:rPr>
              <w:t>4</w:t>
            </w:r>
          </w:p>
        </w:tc>
        <w:tc>
          <w:tcPr>
            <w:tcW w:w="962" w:type="dxa"/>
          </w:tcPr>
          <w:p>
            <w:pPr>
              <w:pStyle w:val="TableParagraph"/>
              <w:spacing w:before="113"/>
              <w:ind w:left="37" w:right="2"/>
              <w:jc w:val="center"/>
              <w:rPr>
                <w:sz w:val="18"/>
              </w:rPr>
            </w:pPr>
            <w:r>
              <w:rPr>
                <w:spacing w:val="-10"/>
                <w:w w:val="110"/>
                <w:sz w:val="18"/>
              </w:rPr>
              <w:t>5</w:t>
            </w:r>
          </w:p>
        </w:tc>
      </w:tr>
      <w:tr>
        <w:trPr>
          <w:trHeight w:val="398" w:hRule="atLeast"/>
        </w:trPr>
        <w:tc>
          <w:tcPr>
            <w:tcW w:w="442" w:type="dxa"/>
          </w:tcPr>
          <w:p>
            <w:pPr>
              <w:pStyle w:val="TableParagraph"/>
              <w:spacing w:before="113"/>
              <w:ind w:left="66" w:right="19"/>
              <w:jc w:val="center"/>
              <w:rPr>
                <w:sz w:val="18"/>
              </w:rPr>
            </w:pPr>
            <w:r>
              <w:rPr>
                <w:spacing w:val="-10"/>
                <w:w w:val="110"/>
                <w:sz w:val="18"/>
              </w:rPr>
              <w:t>5</w:t>
            </w:r>
          </w:p>
        </w:tc>
        <w:tc>
          <w:tcPr>
            <w:tcW w:w="3572" w:type="dxa"/>
          </w:tcPr>
          <w:p>
            <w:pPr>
              <w:pStyle w:val="TableParagraph"/>
              <w:spacing w:before="108"/>
              <w:ind w:left="118"/>
              <w:rPr>
                <w:sz w:val="18"/>
              </w:rPr>
            </w:pPr>
            <w:r>
              <w:rPr>
                <w:w w:val="105"/>
                <w:sz w:val="18"/>
              </w:rPr>
              <w:t>Go</w:t>
            </w:r>
            <w:r>
              <w:rPr>
                <w:spacing w:val="3"/>
                <w:w w:val="105"/>
                <w:sz w:val="18"/>
              </w:rPr>
              <w:t> </w:t>
            </w:r>
            <w:r>
              <w:rPr>
                <w:w w:val="105"/>
                <w:sz w:val="18"/>
              </w:rPr>
              <w:t>to</w:t>
            </w:r>
            <w:r>
              <w:rPr>
                <w:spacing w:val="-2"/>
                <w:w w:val="105"/>
                <w:sz w:val="18"/>
              </w:rPr>
              <w:t> </w:t>
            </w:r>
            <w:r>
              <w:rPr>
                <w:w w:val="105"/>
                <w:sz w:val="18"/>
              </w:rPr>
              <w:t>concerts,</w:t>
            </w:r>
            <w:r>
              <w:rPr>
                <w:spacing w:val="24"/>
                <w:w w:val="105"/>
                <w:sz w:val="18"/>
              </w:rPr>
              <w:t> </w:t>
            </w:r>
            <w:r>
              <w:rPr>
                <w:w w:val="105"/>
                <w:sz w:val="18"/>
              </w:rPr>
              <w:t>plays,</w:t>
            </w:r>
            <w:r>
              <w:rPr>
                <w:spacing w:val="10"/>
                <w:w w:val="105"/>
                <w:sz w:val="18"/>
              </w:rPr>
              <w:t> </w:t>
            </w:r>
            <w:r>
              <w:rPr>
                <w:spacing w:val="-2"/>
                <w:w w:val="105"/>
                <w:sz w:val="18"/>
              </w:rPr>
              <w:t>etc.?</w:t>
            </w:r>
          </w:p>
        </w:tc>
        <w:tc>
          <w:tcPr>
            <w:tcW w:w="875" w:type="dxa"/>
          </w:tcPr>
          <w:p>
            <w:pPr>
              <w:pStyle w:val="TableParagraph"/>
              <w:spacing w:before="98"/>
              <w:ind w:left="47" w:right="22"/>
              <w:jc w:val="center"/>
              <w:rPr>
                <w:sz w:val="19"/>
              </w:rPr>
            </w:pPr>
            <w:r>
              <w:rPr>
                <w:spacing w:val="-10"/>
                <w:w w:val="90"/>
                <w:sz w:val="19"/>
              </w:rPr>
              <w:t>I</w:t>
            </w:r>
          </w:p>
        </w:tc>
        <w:tc>
          <w:tcPr>
            <w:tcW w:w="880" w:type="dxa"/>
          </w:tcPr>
          <w:p>
            <w:pPr>
              <w:pStyle w:val="TableParagraph"/>
              <w:spacing w:before="103"/>
              <w:ind w:left="49" w:right="8"/>
              <w:jc w:val="center"/>
              <w:rPr>
                <w:sz w:val="18"/>
              </w:rPr>
            </w:pPr>
            <w:r>
              <w:rPr>
                <w:spacing w:val="-10"/>
                <w:w w:val="110"/>
                <w:sz w:val="18"/>
              </w:rPr>
              <w:t>2</w:t>
            </w:r>
          </w:p>
        </w:tc>
        <w:tc>
          <w:tcPr>
            <w:tcW w:w="789" w:type="dxa"/>
          </w:tcPr>
          <w:p>
            <w:pPr>
              <w:pStyle w:val="TableParagraph"/>
              <w:spacing w:before="108"/>
              <w:ind w:left="49" w:right="11"/>
              <w:jc w:val="center"/>
              <w:rPr>
                <w:sz w:val="18"/>
              </w:rPr>
            </w:pPr>
            <w:r>
              <w:rPr>
                <w:spacing w:val="-10"/>
                <w:w w:val="110"/>
                <w:sz w:val="18"/>
              </w:rPr>
              <w:t>3</w:t>
            </w:r>
          </w:p>
        </w:tc>
        <w:tc>
          <w:tcPr>
            <w:tcW w:w="880" w:type="dxa"/>
          </w:tcPr>
          <w:p>
            <w:pPr>
              <w:pStyle w:val="TableParagraph"/>
              <w:spacing w:before="108"/>
              <w:ind w:left="49" w:right="17"/>
              <w:jc w:val="center"/>
              <w:rPr>
                <w:sz w:val="18"/>
              </w:rPr>
            </w:pPr>
            <w:r>
              <w:rPr>
                <w:spacing w:val="-10"/>
                <w:w w:val="110"/>
                <w:sz w:val="18"/>
              </w:rPr>
              <w:t>4</w:t>
            </w:r>
          </w:p>
        </w:tc>
        <w:tc>
          <w:tcPr>
            <w:tcW w:w="962" w:type="dxa"/>
          </w:tcPr>
          <w:p>
            <w:pPr>
              <w:pStyle w:val="TableParagraph"/>
              <w:spacing w:before="113"/>
              <w:ind w:left="37" w:right="2"/>
              <w:jc w:val="center"/>
              <w:rPr>
                <w:sz w:val="18"/>
              </w:rPr>
            </w:pPr>
            <w:r>
              <w:rPr>
                <w:spacing w:val="-10"/>
                <w:w w:val="110"/>
                <w:sz w:val="18"/>
              </w:rPr>
              <w:t>5</w:t>
            </w:r>
          </w:p>
        </w:tc>
      </w:tr>
      <w:tr>
        <w:trPr>
          <w:trHeight w:val="388" w:hRule="atLeast"/>
        </w:trPr>
        <w:tc>
          <w:tcPr>
            <w:tcW w:w="442" w:type="dxa"/>
          </w:tcPr>
          <w:p>
            <w:pPr>
              <w:pStyle w:val="TableParagraph"/>
              <w:spacing w:before="98"/>
              <w:ind w:left="66" w:right="32"/>
              <w:jc w:val="center"/>
              <w:rPr>
                <w:sz w:val="19"/>
              </w:rPr>
            </w:pPr>
            <w:r>
              <w:rPr>
                <w:spacing w:val="-10"/>
                <w:w w:val="110"/>
                <w:sz w:val="19"/>
              </w:rPr>
              <w:t>6</w:t>
            </w:r>
          </w:p>
        </w:tc>
        <w:tc>
          <w:tcPr>
            <w:tcW w:w="3572" w:type="dxa"/>
          </w:tcPr>
          <w:p>
            <w:pPr>
              <w:pStyle w:val="TableParagraph"/>
              <w:spacing w:before="103"/>
              <w:ind w:left="113"/>
              <w:rPr>
                <w:sz w:val="18"/>
              </w:rPr>
            </w:pPr>
            <w:r>
              <w:rPr>
                <w:w w:val="105"/>
                <w:sz w:val="18"/>
              </w:rPr>
              <w:t>Go</w:t>
            </w:r>
            <w:r>
              <w:rPr>
                <w:spacing w:val="8"/>
                <w:w w:val="105"/>
                <w:sz w:val="18"/>
              </w:rPr>
              <w:t> </w:t>
            </w:r>
            <w:r>
              <w:rPr>
                <w:w w:val="105"/>
                <w:sz w:val="18"/>
              </w:rPr>
              <w:t>to</w:t>
            </w:r>
            <w:r>
              <w:rPr>
                <w:spacing w:val="8"/>
                <w:w w:val="105"/>
                <w:sz w:val="18"/>
              </w:rPr>
              <w:t> </w:t>
            </w:r>
            <w:r>
              <w:rPr>
                <w:w w:val="105"/>
                <w:sz w:val="18"/>
              </w:rPr>
              <w:t>fairs,</w:t>
            </w:r>
            <w:r>
              <w:rPr>
                <w:spacing w:val="16"/>
                <w:w w:val="105"/>
                <w:sz w:val="18"/>
              </w:rPr>
              <w:t> </w:t>
            </w:r>
            <w:r>
              <w:rPr>
                <w:w w:val="105"/>
                <w:sz w:val="18"/>
              </w:rPr>
              <w:t>museums,</w:t>
            </w:r>
            <w:r>
              <w:rPr>
                <w:spacing w:val="9"/>
                <w:w w:val="105"/>
                <w:sz w:val="18"/>
              </w:rPr>
              <w:t> </w:t>
            </w:r>
            <w:r>
              <w:rPr>
                <w:w w:val="105"/>
                <w:sz w:val="18"/>
              </w:rPr>
              <w:t>exhibits,</w:t>
            </w:r>
            <w:r>
              <w:rPr>
                <w:spacing w:val="15"/>
                <w:w w:val="105"/>
                <w:sz w:val="18"/>
              </w:rPr>
              <w:t> </w:t>
            </w:r>
            <w:r>
              <w:rPr>
                <w:spacing w:val="-4"/>
                <w:w w:val="105"/>
                <w:sz w:val="18"/>
              </w:rPr>
              <w:t>etc.?</w:t>
            </w:r>
          </w:p>
        </w:tc>
        <w:tc>
          <w:tcPr>
            <w:tcW w:w="875" w:type="dxa"/>
          </w:tcPr>
          <w:p>
            <w:pPr>
              <w:pStyle w:val="TableParagraph"/>
              <w:spacing w:before="94"/>
              <w:ind w:left="47" w:right="18"/>
              <w:jc w:val="center"/>
              <w:rPr>
                <w:sz w:val="19"/>
              </w:rPr>
            </w:pPr>
            <w:r>
              <w:rPr>
                <w:spacing w:val="-10"/>
                <w:w w:val="80"/>
                <w:sz w:val="19"/>
              </w:rPr>
              <w:t>I</w:t>
            </w:r>
          </w:p>
        </w:tc>
        <w:tc>
          <w:tcPr>
            <w:tcW w:w="880" w:type="dxa"/>
          </w:tcPr>
          <w:p>
            <w:pPr>
              <w:pStyle w:val="TableParagraph"/>
              <w:spacing w:before="103"/>
              <w:ind w:left="49" w:right="17"/>
              <w:jc w:val="center"/>
              <w:rPr>
                <w:sz w:val="18"/>
              </w:rPr>
            </w:pPr>
            <w:r>
              <w:rPr>
                <w:spacing w:val="-10"/>
                <w:w w:val="110"/>
                <w:sz w:val="18"/>
              </w:rPr>
              <w:t>2</w:t>
            </w:r>
          </w:p>
        </w:tc>
        <w:tc>
          <w:tcPr>
            <w:tcW w:w="789" w:type="dxa"/>
          </w:tcPr>
          <w:p>
            <w:pPr>
              <w:pStyle w:val="TableParagraph"/>
              <w:spacing w:before="108"/>
              <w:ind w:left="49" w:right="11"/>
              <w:jc w:val="center"/>
              <w:rPr>
                <w:sz w:val="18"/>
              </w:rPr>
            </w:pPr>
            <w:r>
              <w:rPr>
                <w:spacing w:val="-10"/>
                <w:w w:val="110"/>
                <w:sz w:val="18"/>
              </w:rPr>
              <w:t>3</w:t>
            </w:r>
          </w:p>
        </w:tc>
        <w:tc>
          <w:tcPr>
            <w:tcW w:w="880" w:type="dxa"/>
          </w:tcPr>
          <w:p>
            <w:pPr>
              <w:pStyle w:val="TableParagraph"/>
              <w:spacing w:before="98"/>
              <w:ind w:left="49" w:right="27"/>
              <w:jc w:val="center"/>
              <w:rPr>
                <w:sz w:val="18"/>
              </w:rPr>
            </w:pPr>
            <w:r>
              <w:rPr>
                <w:spacing w:val="-10"/>
                <w:w w:val="110"/>
                <w:sz w:val="18"/>
              </w:rPr>
              <w:t>4</w:t>
            </w:r>
          </w:p>
        </w:tc>
        <w:tc>
          <w:tcPr>
            <w:tcW w:w="962" w:type="dxa"/>
          </w:tcPr>
          <w:p>
            <w:pPr>
              <w:pStyle w:val="TableParagraph"/>
              <w:spacing w:before="108"/>
              <w:ind w:left="37" w:right="2"/>
              <w:jc w:val="center"/>
              <w:rPr>
                <w:sz w:val="18"/>
              </w:rPr>
            </w:pPr>
            <w:r>
              <w:rPr>
                <w:spacing w:val="-10"/>
                <w:w w:val="110"/>
                <w:sz w:val="18"/>
              </w:rPr>
              <w:t>5</w:t>
            </w:r>
          </w:p>
        </w:tc>
      </w:tr>
      <w:tr>
        <w:trPr>
          <w:trHeight w:val="393" w:hRule="atLeast"/>
        </w:trPr>
        <w:tc>
          <w:tcPr>
            <w:tcW w:w="442" w:type="dxa"/>
          </w:tcPr>
          <w:p>
            <w:pPr>
              <w:pStyle w:val="TableParagraph"/>
              <w:spacing w:before="108"/>
              <w:ind w:left="66" w:right="18"/>
              <w:jc w:val="center"/>
              <w:rPr>
                <w:sz w:val="18"/>
              </w:rPr>
            </w:pPr>
            <w:r>
              <w:rPr>
                <w:spacing w:val="-10"/>
                <w:w w:val="105"/>
                <w:sz w:val="18"/>
              </w:rPr>
              <w:t>7</w:t>
            </w:r>
          </w:p>
        </w:tc>
        <w:tc>
          <w:tcPr>
            <w:tcW w:w="3572" w:type="dxa"/>
          </w:tcPr>
          <w:p>
            <w:pPr>
              <w:pStyle w:val="TableParagraph"/>
              <w:spacing w:before="108"/>
              <w:ind w:left="123"/>
              <w:rPr>
                <w:sz w:val="18"/>
              </w:rPr>
            </w:pPr>
            <w:r>
              <w:rPr>
                <w:w w:val="105"/>
                <w:sz w:val="18"/>
              </w:rPr>
              <w:t>Attend</w:t>
            </w:r>
            <w:r>
              <w:rPr>
                <w:spacing w:val="24"/>
                <w:w w:val="105"/>
                <w:sz w:val="18"/>
              </w:rPr>
              <w:t> </w:t>
            </w:r>
            <w:r>
              <w:rPr>
                <w:w w:val="105"/>
                <w:sz w:val="18"/>
              </w:rPr>
              <w:t>meetings</w:t>
            </w:r>
            <w:r>
              <w:rPr>
                <w:spacing w:val="3"/>
                <w:w w:val="105"/>
                <w:sz w:val="18"/>
              </w:rPr>
              <w:t> </w:t>
            </w:r>
            <w:r>
              <w:rPr>
                <w:w w:val="105"/>
                <w:sz w:val="18"/>
              </w:rPr>
              <w:t>of</w:t>
            </w:r>
            <w:r>
              <w:rPr>
                <w:spacing w:val="2"/>
                <w:w w:val="105"/>
                <w:sz w:val="18"/>
              </w:rPr>
              <w:t> </w:t>
            </w:r>
            <w:r>
              <w:rPr>
                <w:w w:val="105"/>
                <w:sz w:val="18"/>
              </w:rPr>
              <w:t>clubs</w:t>
            </w:r>
            <w:r>
              <w:rPr>
                <w:spacing w:val="-3"/>
                <w:w w:val="105"/>
                <w:sz w:val="18"/>
              </w:rPr>
              <w:t> </w:t>
            </w:r>
            <w:r>
              <w:rPr>
                <w:w w:val="105"/>
                <w:sz w:val="18"/>
              </w:rPr>
              <w:t>or</w:t>
            </w:r>
            <w:r>
              <w:rPr>
                <w:spacing w:val="2"/>
                <w:w w:val="105"/>
                <w:sz w:val="18"/>
              </w:rPr>
              <w:t> </w:t>
            </w:r>
            <w:r>
              <w:rPr>
                <w:spacing w:val="-2"/>
                <w:w w:val="105"/>
                <w:sz w:val="18"/>
              </w:rPr>
              <w:t>organizations?</w:t>
            </w:r>
          </w:p>
        </w:tc>
        <w:tc>
          <w:tcPr>
            <w:tcW w:w="875" w:type="dxa"/>
          </w:tcPr>
          <w:p>
            <w:pPr>
              <w:pStyle w:val="TableParagraph"/>
              <w:spacing w:before="98"/>
              <w:ind w:left="47" w:right="22"/>
              <w:jc w:val="center"/>
              <w:rPr>
                <w:sz w:val="19"/>
              </w:rPr>
            </w:pPr>
            <w:r>
              <w:rPr>
                <w:spacing w:val="-10"/>
                <w:w w:val="90"/>
                <w:sz w:val="19"/>
              </w:rPr>
              <w:t>I</w:t>
            </w:r>
          </w:p>
        </w:tc>
        <w:tc>
          <w:tcPr>
            <w:tcW w:w="880" w:type="dxa"/>
          </w:tcPr>
          <w:p>
            <w:pPr>
              <w:pStyle w:val="TableParagraph"/>
              <w:spacing w:before="108"/>
              <w:ind w:left="49" w:right="8"/>
              <w:jc w:val="center"/>
              <w:rPr>
                <w:sz w:val="18"/>
              </w:rPr>
            </w:pPr>
            <w:r>
              <w:rPr>
                <w:spacing w:val="-10"/>
                <w:w w:val="110"/>
                <w:sz w:val="18"/>
              </w:rPr>
              <w:t>2</w:t>
            </w:r>
          </w:p>
        </w:tc>
        <w:tc>
          <w:tcPr>
            <w:tcW w:w="789" w:type="dxa"/>
          </w:tcPr>
          <w:p>
            <w:pPr>
              <w:pStyle w:val="TableParagraph"/>
              <w:spacing w:before="113"/>
              <w:ind w:left="49" w:right="11"/>
              <w:jc w:val="center"/>
              <w:rPr>
                <w:sz w:val="18"/>
              </w:rPr>
            </w:pPr>
            <w:r>
              <w:rPr>
                <w:spacing w:val="-10"/>
                <w:w w:val="110"/>
                <w:sz w:val="18"/>
              </w:rPr>
              <w:t>3</w:t>
            </w:r>
          </w:p>
        </w:tc>
        <w:tc>
          <w:tcPr>
            <w:tcW w:w="880" w:type="dxa"/>
          </w:tcPr>
          <w:p>
            <w:pPr>
              <w:pStyle w:val="TableParagraph"/>
              <w:spacing w:before="108"/>
              <w:ind w:left="49" w:right="20"/>
              <w:jc w:val="center"/>
              <w:rPr>
                <w:sz w:val="18"/>
              </w:rPr>
            </w:pPr>
            <w:r>
              <w:rPr>
                <w:spacing w:val="-10"/>
                <w:w w:val="105"/>
                <w:sz w:val="18"/>
              </w:rPr>
              <w:t>4</w:t>
            </w:r>
          </w:p>
        </w:tc>
        <w:tc>
          <w:tcPr>
            <w:tcW w:w="962" w:type="dxa"/>
          </w:tcPr>
          <w:p>
            <w:pPr>
              <w:pStyle w:val="TableParagraph"/>
              <w:spacing w:before="113"/>
              <w:ind w:left="37" w:right="2"/>
              <w:jc w:val="center"/>
              <w:rPr>
                <w:sz w:val="18"/>
              </w:rPr>
            </w:pPr>
            <w:r>
              <w:rPr>
                <w:spacing w:val="-10"/>
                <w:w w:val="110"/>
                <w:sz w:val="18"/>
              </w:rPr>
              <w:t>5</w:t>
            </w:r>
          </w:p>
        </w:tc>
      </w:tr>
      <w:tr>
        <w:trPr>
          <w:trHeight w:val="398" w:hRule="atLeast"/>
        </w:trPr>
        <w:tc>
          <w:tcPr>
            <w:tcW w:w="442" w:type="dxa"/>
          </w:tcPr>
          <w:p>
            <w:pPr>
              <w:pStyle w:val="TableParagraph"/>
              <w:spacing w:before="113"/>
              <w:ind w:left="66" w:right="14"/>
              <w:jc w:val="center"/>
              <w:rPr>
                <w:sz w:val="18"/>
              </w:rPr>
            </w:pPr>
            <w:r>
              <w:rPr>
                <w:spacing w:val="-10"/>
                <w:w w:val="110"/>
                <w:sz w:val="18"/>
              </w:rPr>
              <w:t>8</w:t>
            </w:r>
          </w:p>
        </w:tc>
        <w:tc>
          <w:tcPr>
            <w:tcW w:w="3572" w:type="dxa"/>
          </w:tcPr>
          <w:p>
            <w:pPr>
              <w:pStyle w:val="TableParagraph"/>
              <w:spacing w:before="108"/>
              <w:ind w:left="118"/>
              <w:rPr>
                <w:sz w:val="18"/>
              </w:rPr>
            </w:pPr>
            <w:r>
              <w:rPr>
                <w:w w:val="105"/>
                <w:sz w:val="18"/>
              </w:rPr>
              <w:t>Go</w:t>
            </w:r>
            <w:r>
              <w:rPr>
                <w:spacing w:val="5"/>
                <w:w w:val="105"/>
                <w:sz w:val="18"/>
              </w:rPr>
              <w:t> </w:t>
            </w:r>
            <w:r>
              <w:rPr>
                <w:w w:val="105"/>
                <w:sz w:val="18"/>
              </w:rPr>
              <w:t>to</w:t>
            </w:r>
            <w:r>
              <w:rPr>
                <w:spacing w:val="2"/>
                <w:w w:val="105"/>
                <w:sz w:val="18"/>
              </w:rPr>
              <w:t> </w:t>
            </w:r>
            <w:r>
              <w:rPr>
                <w:spacing w:val="-2"/>
                <w:w w:val="105"/>
                <w:sz w:val="18"/>
              </w:rPr>
              <w:t>church?</w:t>
            </w:r>
          </w:p>
        </w:tc>
        <w:tc>
          <w:tcPr>
            <w:tcW w:w="875" w:type="dxa"/>
          </w:tcPr>
          <w:p>
            <w:pPr>
              <w:pStyle w:val="TableParagraph"/>
              <w:spacing w:before="108"/>
              <w:ind w:left="47" w:right="22"/>
              <w:jc w:val="center"/>
              <w:rPr>
                <w:sz w:val="18"/>
              </w:rPr>
            </w:pPr>
            <w:r>
              <w:rPr>
                <w:spacing w:val="-10"/>
                <w:sz w:val="18"/>
              </w:rPr>
              <w:t>1</w:t>
            </w:r>
          </w:p>
        </w:tc>
        <w:tc>
          <w:tcPr>
            <w:tcW w:w="880" w:type="dxa"/>
          </w:tcPr>
          <w:p>
            <w:pPr>
              <w:pStyle w:val="TableParagraph"/>
              <w:spacing w:before="108"/>
              <w:ind w:left="49" w:right="8"/>
              <w:jc w:val="center"/>
              <w:rPr>
                <w:sz w:val="18"/>
              </w:rPr>
            </w:pPr>
            <w:r>
              <w:rPr>
                <w:spacing w:val="-10"/>
                <w:w w:val="110"/>
                <w:sz w:val="18"/>
              </w:rPr>
              <w:t>2</w:t>
            </w:r>
          </w:p>
        </w:tc>
        <w:tc>
          <w:tcPr>
            <w:tcW w:w="789" w:type="dxa"/>
          </w:tcPr>
          <w:p>
            <w:pPr>
              <w:pStyle w:val="TableParagraph"/>
              <w:spacing w:before="113"/>
              <w:ind w:left="49" w:right="5"/>
              <w:jc w:val="center"/>
              <w:rPr>
                <w:sz w:val="18"/>
              </w:rPr>
            </w:pPr>
            <w:r>
              <w:rPr>
                <w:spacing w:val="-10"/>
                <w:w w:val="105"/>
                <w:sz w:val="18"/>
              </w:rPr>
              <w:t>3</w:t>
            </w:r>
          </w:p>
        </w:tc>
        <w:tc>
          <w:tcPr>
            <w:tcW w:w="880" w:type="dxa"/>
          </w:tcPr>
          <w:p>
            <w:pPr>
              <w:pStyle w:val="TableParagraph"/>
              <w:spacing w:before="108"/>
              <w:ind w:left="49" w:right="20"/>
              <w:jc w:val="center"/>
              <w:rPr>
                <w:sz w:val="18"/>
              </w:rPr>
            </w:pPr>
            <w:r>
              <w:rPr>
                <w:spacing w:val="-10"/>
                <w:w w:val="105"/>
                <w:sz w:val="18"/>
              </w:rPr>
              <w:t>4</w:t>
            </w:r>
          </w:p>
        </w:tc>
        <w:tc>
          <w:tcPr>
            <w:tcW w:w="962" w:type="dxa"/>
          </w:tcPr>
          <w:p>
            <w:pPr>
              <w:pStyle w:val="TableParagraph"/>
              <w:spacing w:before="113"/>
              <w:ind w:left="37" w:right="2"/>
              <w:jc w:val="center"/>
              <w:rPr>
                <w:sz w:val="18"/>
              </w:rPr>
            </w:pPr>
            <w:r>
              <w:rPr>
                <w:spacing w:val="-10"/>
                <w:w w:val="110"/>
                <w:sz w:val="18"/>
              </w:rPr>
              <w:t>5</w:t>
            </w:r>
          </w:p>
        </w:tc>
      </w:tr>
      <w:tr>
        <w:trPr>
          <w:trHeight w:val="393" w:hRule="atLeast"/>
        </w:trPr>
        <w:tc>
          <w:tcPr>
            <w:tcW w:w="442" w:type="dxa"/>
          </w:tcPr>
          <w:p>
            <w:pPr>
              <w:pStyle w:val="TableParagraph"/>
              <w:spacing w:before="103"/>
              <w:ind w:left="66" w:right="16"/>
              <w:jc w:val="center"/>
              <w:rPr>
                <w:sz w:val="18"/>
              </w:rPr>
            </w:pPr>
            <w:r>
              <w:rPr>
                <w:spacing w:val="-10"/>
                <w:w w:val="110"/>
                <w:sz w:val="18"/>
              </w:rPr>
              <w:t>9</w:t>
            </w:r>
          </w:p>
        </w:tc>
        <w:tc>
          <w:tcPr>
            <w:tcW w:w="3572" w:type="dxa"/>
          </w:tcPr>
          <w:p>
            <w:pPr>
              <w:pStyle w:val="TableParagraph"/>
              <w:spacing w:before="103"/>
              <w:ind w:left="123"/>
              <w:rPr>
                <w:sz w:val="18"/>
              </w:rPr>
            </w:pPr>
            <w:r>
              <w:rPr>
                <w:w w:val="105"/>
                <w:sz w:val="18"/>
              </w:rPr>
              <w:t>Go on</w:t>
            </w:r>
            <w:r>
              <w:rPr>
                <w:spacing w:val="18"/>
                <w:w w:val="105"/>
                <w:sz w:val="18"/>
              </w:rPr>
              <w:t> </w:t>
            </w:r>
            <w:r>
              <w:rPr>
                <w:w w:val="105"/>
                <w:sz w:val="18"/>
              </w:rPr>
              <w:t>pleasure</w:t>
            </w:r>
            <w:r>
              <w:rPr>
                <w:spacing w:val="9"/>
                <w:w w:val="105"/>
                <w:sz w:val="18"/>
              </w:rPr>
              <w:t> </w:t>
            </w:r>
            <w:r>
              <w:rPr>
                <w:w w:val="105"/>
                <w:sz w:val="18"/>
              </w:rPr>
              <w:t>drives,</w:t>
            </w:r>
            <w:r>
              <w:rPr>
                <w:spacing w:val="8"/>
                <w:w w:val="105"/>
                <w:sz w:val="18"/>
              </w:rPr>
              <w:t> </w:t>
            </w:r>
            <w:r>
              <w:rPr>
                <w:w w:val="105"/>
                <w:sz w:val="18"/>
              </w:rPr>
              <w:t>picnics,</w:t>
            </w:r>
            <w:r>
              <w:rPr>
                <w:spacing w:val="6"/>
                <w:w w:val="105"/>
                <w:sz w:val="18"/>
              </w:rPr>
              <w:t> </w:t>
            </w:r>
            <w:r>
              <w:rPr>
                <w:spacing w:val="-2"/>
                <w:w w:val="105"/>
                <w:sz w:val="18"/>
              </w:rPr>
              <w:t>etc.?</w:t>
            </w:r>
          </w:p>
        </w:tc>
        <w:tc>
          <w:tcPr>
            <w:tcW w:w="875" w:type="dxa"/>
          </w:tcPr>
          <w:p>
            <w:pPr>
              <w:pStyle w:val="TableParagraph"/>
              <w:spacing w:before="94"/>
              <w:ind w:left="47" w:right="12"/>
              <w:jc w:val="center"/>
              <w:rPr>
                <w:sz w:val="19"/>
              </w:rPr>
            </w:pPr>
            <w:r>
              <w:rPr>
                <w:spacing w:val="-10"/>
                <w:w w:val="90"/>
                <w:sz w:val="19"/>
              </w:rPr>
              <w:t>I</w:t>
            </w:r>
          </w:p>
        </w:tc>
        <w:tc>
          <w:tcPr>
            <w:tcW w:w="880" w:type="dxa"/>
          </w:tcPr>
          <w:p>
            <w:pPr>
              <w:pStyle w:val="TableParagraph"/>
              <w:spacing w:before="103"/>
              <w:ind w:left="49" w:right="8"/>
              <w:jc w:val="center"/>
              <w:rPr>
                <w:sz w:val="18"/>
              </w:rPr>
            </w:pPr>
            <w:r>
              <w:rPr>
                <w:spacing w:val="-10"/>
                <w:w w:val="110"/>
                <w:sz w:val="18"/>
              </w:rPr>
              <w:t>2</w:t>
            </w:r>
          </w:p>
        </w:tc>
        <w:tc>
          <w:tcPr>
            <w:tcW w:w="789" w:type="dxa"/>
          </w:tcPr>
          <w:p>
            <w:pPr>
              <w:pStyle w:val="TableParagraph"/>
              <w:spacing w:before="108"/>
              <w:ind w:left="49" w:right="1"/>
              <w:jc w:val="center"/>
              <w:rPr>
                <w:sz w:val="18"/>
              </w:rPr>
            </w:pPr>
            <w:r>
              <w:rPr>
                <w:spacing w:val="-10"/>
                <w:w w:val="110"/>
                <w:sz w:val="18"/>
              </w:rPr>
              <w:t>3</w:t>
            </w:r>
          </w:p>
        </w:tc>
        <w:tc>
          <w:tcPr>
            <w:tcW w:w="880" w:type="dxa"/>
          </w:tcPr>
          <w:p>
            <w:pPr>
              <w:pStyle w:val="TableParagraph"/>
              <w:spacing w:before="98"/>
              <w:ind w:left="49" w:right="17"/>
              <w:jc w:val="center"/>
              <w:rPr>
                <w:sz w:val="18"/>
              </w:rPr>
            </w:pPr>
            <w:r>
              <w:rPr>
                <w:spacing w:val="-10"/>
                <w:w w:val="110"/>
                <w:sz w:val="18"/>
              </w:rPr>
              <w:t>4</w:t>
            </w:r>
          </w:p>
        </w:tc>
        <w:tc>
          <w:tcPr>
            <w:tcW w:w="962" w:type="dxa"/>
          </w:tcPr>
          <w:p>
            <w:pPr>
              <w:pStyle w:val="TableParagraph"/>
              <w:spacing w:before="94"/>
              <w:ind w:left="37" w:right="7"/>
              <w:jc w:val="center"/>
              <w:rPr>
                <w:i/>
                <w:sz w:val="19"/>
              </w:rPr>
            </w:pPr>
            <w:r>
              <w:rPr>
                <w:i/>
                <w:spacing w:val="-10"/>
                <w:sz w:val="19"/>
              </w:rPr>
              <w:t>5</w:t>
            </w:r>
          </w:p>
        </w:tc>
      </w:tr>
      <w:tr>
        <w:trPr>
          <w:trHeight w:val="388" w:hRule="atLeast"/>
        </w:trPr>
        <w:tc>
          <w:tcPr>
            <w:tcW w:w="442" w:type="dxa"/>
          </w:tcPr>
          <w:p>
            <w:pPr>
              <w:pStyle w:val="TableParagraph"/>
              <w:spacing w:before="103"/>
              <w:ind w:left="66"/>
              <w:jc w:val="center"/>
              <w:rPr>
                <w:sz w:val="18"/>
              </w:rPr>
            </w:pPr>
            <w:r>
              <w:rPr>
                <w:spacing w:val="-5"/>
                <w:w w:val="105"/>
                <w:sz w:val="18"/>
              </w:rPr>
              <w:t>10</w:t>
            </w:r>
          </w:p>
        </w:tc>
        <w:tc>
          <w:tcPr>
            <w:tcW w:w="3572" w:type="dxa"/>
          </w:tcPr>
          <w:p>
            <w:pPr>
              <w:pStyle w:val="TableParagraph"/>
              <w:spacing w:before="103"/>
              <w:ind w:left="123"/>
              <w:rPr>
                <w:sz w:val="18"/>
              </w:rPr>
            </w:pPr>
            <w:r>
              <w:rPr>
                <w:w w:val="105"/>
                <w:sz w:val="18"/>
              </w:rPr>
              <w:t>Go</w:t>
            </w:r>
            <w:r>
              <w:rPr>
                <w:spacing w:val="3"/>
                <w:w w:val="105"/>
                <w:sz w:val="18"/>
              </w:rPr>
              <w:t> </w:t>
            </w:r>
            <w:r>
              <w:rPr>
                <w:w w:val="105"/>
                <w:sz w:val="18"/>
              </w:rPr>
              <w:t>to</w:t>
            </w:r>
            <w:r>
              <w:rPr>
                <w:spacing w:val="3"/>
                <w:w w:val="105"/>
                <w:sz w:val="18"/>
              </w:rPr>
              <w:t> </w:t>
            </w:r>
            <w:r>
              <w:rPr>
                <w:w w:val="105"/>
                <w:sz w:val="18"/>
              </w:rPr>
              <w:t>classes</w:t>
            </w:r>
            <w:r>
              <w:rPr>
                <w:spacing w:val="1"/>
                <w:w w:val="105"/>
                <w:sz w:val="18"/>
              </w:rPr>
              <w:t> </w:t>
            </w:r>
            <w:r>
              <w:rPr>
                <w:w w:val="105"/>
                <w:sz w:val="18"/>
              </w:rPr>
              <w:t>or</w:t>
            </w:r>
            <w:r>
              <w:rPr>
                <w:spacing w:val="23"/>
                <w:w w:val="105"/>
                <w:sz w:val="18"/>
              </w:rPr>
              <w:t> </w:t>
            </w:r>
            <w:r>
              <w:rPr>
                <w:spacing w:val="-2"/>
                <w:w w:val="105"/>
                <w:sz w:val="18"/>
              </w:rPr>
              <w:t>lectures?</w:t>
            </w:r>
          </w:p>
        </w:tc>
        <w:tc>
          <w:tcPr>
            <w:tcW w:w="875" w:type="dxa"/>
          </w:tcPr>
          <w:p>
            <w:pPr>
              <w:pStyle w:val="TableParagraph"/>
              <w:spacing w:before="94"/>
              <w:ind w:left="47" w:right="12"/>
              <w:jc w:val="center"/>
              <w:rPr>
                <w:sz w:val="19"/>
              </w:rPr>
            </w:pPr>
            <w:r>
              <w:rPr>
                <w:spacing w:val="-10"/>
                <w:w w:val="90"/>
                <w:sz w:val="19"/>
              </w:rPr>
              <w:t>I</w:t>
            </w:r>
          </w:p>
        </w:tc>
        <w:tc>
          <w:tcPr>
            <w:tcW w:w="880" w:type="dxa"/>
          </w:tcPr>
          <w:p>
            <w:pPr>
              <w:pStyle w:val="TableParagraph"/>
              <w:spacing w:before="103"/>
              <w:ind w:left="49" w:right="8"/>
              <w:jc w:val="center"/>
              <w:rPr>
                <w:sz w:val="18"/>
              </w:rPr>
            </w:pPr>
            <w:r>
              <w:rPr>
                <w:spacing w:val="-10"/>
                <w:w w:val="110"/>
                <w:sz w:val="18"/>
              </w:rPr>
              <w:t>2</w:t>
            </w:r>
          </w:p>
        </w:tc>
        <w:tc>
          <w:tcPr>
            <w:tcW w:w="789" w:type="dxa"/>
          </w:tcPr>
          <w:p>
            <w:pPr>
              <w:pStyle w:val="TableParagraph"/>
              <w:spacing w:before="103"/>
              <w:ind w:left="49" w:right="1"/>
              <w:jc w:val="center"/>
              <w:rPr>
                <w:sz w:val="18"/>
              </w:rPr>
            </w:pPr>
            <w:r>
              <w:rPr>
                <w:spacing w:val="-10"/>
                <w:w w:val="110"/>
                <w:sz w:val="18"/>
              </w:rPr>
              <w:t>3</w:t>
            </w:r>
          </w:p>
        </w:tc>
        <w:tc>
          <w:tcPr>
            <w:tcW w:w="880" w:type="dxa"/>
          </w:tcPr>
          <w:p>
            <w:pPr>
              <w:pStyle w:val="TableParagraph"/>
              <w:spacing w:before="98"/>
              <w:ind w:left="49" w:right="10"/>
              <w:jc w:val="center"/>
              <w:rPr>
                <w:sz w:val="18"/>
              </w:rPr>
            </w:pPr>
            <w:r>
              <w:rPr>
                <w:spacing w:val="-10"/>
                <w:w w:val="105"/>
                <w:sz w:val="18"/>
              </w:rPr>
              <w:t>4</w:t>
            </w:r>
          </w:p>
        </w:tc>
        <w:tc>
          <w:tcPr>
            <w:tcW w:w="962" w:type="dxa"/>
          </w:tcPr>
          <w:p>
            <w:pPr>
              <w:pStyle w:val="TableParagraph"/>
              <w:spacing w:before="98"/>
              <w:ind w:left="37" w:right="7"/>
              <w:jc w:val="center"/>
              <w:rPr>
                <w:i/>
                <w:sz w:val="19"/>
              </w:rPr>
            </w:pPr>
            <w:r>
              <w:rPr>
                <w:i/>
                <w:spacing w:val="-10"/>
                <w:sz w:val="19"/>
              </w:rPr>
              <w:t>5</w:t>
            </w:r>
          </w:p>
        </w:tc>
      </w:tr>
    </w:tbl>
    <w:p>
      <w:pPr>
        <w:pStyle w:val="BodyText"/>
        <w:spacing w:before="31"/>
        <w:rPr>
          <w:sz w:val="18"/>
        </w:rPr>
      </w:pPr>
    </w:p>
    <w:p>
      <w:pPr>
        <w:spacing w:before="0"/>
        <w:ind w:left="541" w:right="0" w:firstLine="0"/>
        <w:jc w:val="left"/>
        <w:rPr>
          <w:sz w:val="18"/>
        </w:rPr>
      </w:pPr>
      <w:r>
        <w:rPr>
          <w:w w:val="105"/>
          <w:sz w:val="18"/>
        </w:rPr>
        <w:t>About</w:t>
      </w:r>
      <w:r>
        <w:rPr>
          <w:spacing w:val="7"/>
          <w:w w:val="105"/>
          <w:sz w:val="18"/>
        </w:rPr>
        <w:t> </w:t>
      </w:r>
      <w:r>
        <w:rPr>
          <w:w w:val="105"/>
          <w:sz w:val="18"/>
        </w:rPr>
        <w:t>how</w:t>
      </w:r>
      <w:r>
        <w:rPr>
          <w:spacing w:val="8"/>
          <w:w w:val="105"/>
          <w:sz w:val="18"/>
        </w:rPr>
        <w:t> </w:t>
      </w:r>
      <w:r>
        <w:rPr>
          <w:w w:val="105"/>
          <w:sz w:val="18"/>
        </w:rPr>
        <w:t>many</w:t>
      </w:r>
      <w:r>
        <w:rPr>
          <w:spacing w:val="14"/>
          <w:w w:val="105"/>
          <w:sz w:val="18"/>
        </w:rPr>
        <w:t> </w:t>
      </w:r>
      <w:r>
        <w:rPr>
          <w:w w:val="105"/>
          <w:sz w:val="18"/>
        </w:rPr>
        <w:t>hours</w:t>
      </w:r>
      <w:r>
        <w:rPr>
          <w:spacing w:val="4"/>
          <w:w w:val="105"/>
          <w:sz w:val="18"/>
        </w:rPr>
        <w:t> </w:t>
      </w:r>
      <w:r>
        <w:rPr>
          <w:w w:val="105"/>
          <w:sz w:val="18"/>
        </w:rPr>
        <w:t>in an</w:t>
      </w:r>
      <w:r>
        <w:rPr>
          <w:spacing w:val="10"/>
          <w:w w:val="105"/>
          <w:sz w:val="18"/>
        </w:rPr>
        <w:t> </w:t>
      </w:r>
      <w:r>
        <w:rPr>
          <w:w w:val="105"/>
          <w:sz w:val="18"/>
        </w:rPr>
        <w:t>average</w:t>
      </w:r>
      <w:r>
        <w:rPr>
          <w:spacing w:val="-1"/>
          <w:w w:val="105"/>
          <w:sz w:val="18"/>
        </w:rPr>
        <w:t> </w:t>
      </w:r>
      <w:r>
        <w:rPr>
          <w:w w:val="105"/>
          <w:sz w:val="18"/>
        </w:rPr>
        <w:t>day</w:t>
      </w:r>
      <w:r>
        <w:rPr>
          <w:spacing w:val="8"/>
          <w:w w:val="105"/>
          <w:sz w:val="18"/>
        </w:rPr>
        <w:t> </w:t>
      </w:r>
      <w:r>
        <w:rPr>
          <w:w w:val="105"/>
          <w:sz w:val="18"/>
        </w:rPr>
        <w:t>do you</w:t>
      </w:r>
      <w:r>
        <w:rPr>
          <w:spacing w:val="5"/>
          <w:w w:val="105"/>
          <w:sz w:val="18"/>
        </w:rPr>
        <w:t> </w:t>
      </w:r>
      <w:r>
        <w:rPr>
          <w:spacing w:val="-2"/>
          <w:w w:val="105"/>
          <w:sz w:val="18"/>
        </w:rPr>
        <w:t>spend:</w:t>
      </w:r>
    </w:p>
    <w:p>
      <w:pPr>
        <w:pStyle w:val="BodyText"/>
        <w:spacing w:before="2"/>
        <w:rPr>
          <w:sz w:val="18"/>
        </w:rPr>
      </w:pPr>
    </w:p>
    <w:tbl>
      <w:tblPr>
        <w:tblW w:w="0" w:type="auto"/>
        <w:jc w:val="left"/>
        <w:tblInd w:w="5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3"/>
        <w:gridCol w:w="3572"/>
        <w:gridCol w:w="875"/>
        <w:gridCol w:w="880"/>
        <w:gridCol w:w="789"/>
        <w:gridCol w:w="880"/>
        <w:gridCol w:w="962"/>
      </w:tblGrid>
      <w:tr>
        <w:trPr>
          <w:trHeight w:val="440" w:hRule="atLeast"/>
        </w:trPr>
        <w:tc>
          <w:tcPr>
            <w:tcW w:w="433" w:type="dxa"/>
            <w:vMerge w:val="restart"/>
          </w:tcPr>
          <w:p>
            <w:pPr>
              <w:pStyle w:val="TableParagraph"/>
              <w:rPr>
                <w:sz w:val="18"/>
              </w:rPr>
            </w:pPr>
          </w:p>
        </w:tc>
        <w:tc>
          <w:tcPr>
            <w:tcW w:w="3572" w:type="dxa"/>
            <w:vMerge w:val="restart"/>
          </w:tcPr>
          <w:p>
            <w:pPr>
              <w:pStyle w:val="TableParagraph"/>
              <w:rPr>
                <w:sz w:val="18"/>
              </w:rPr>
            </w:pPr>
          </w:p>
        </w:tc>
        <w:tc>
          <w:tcPr>
            <w:tcW w:w="875" w:type="dxa"/>
            <w:tcBorders>
              <w:bottom w:val="nil"/>
            </w:tcBorders>
          </w:tcPr>
          <w:p>
            <w:pPr>
              <w:pStyle w:val="TableParagraph"/>
              <w:rPr>
                <w:sz w:val="18"/>
              </w:rPr>
            </w:pPr>
          </w:p>
        </w:tc>
        <w:tc>
          <w:tcPr>
            <w:tcW w:w="880" w:type="dxa"/>
            <w:tcBorders>
              <w:bottom w:val="nil"/>
            </w:tcBorders>
          </w:tcPr>
          <w:p>
            <w:pPr>
              <w:pStyle w:val="TableParagraph"/>
              <w:spacing w:before="25"/>
              <w:rPr>
                <w:sz w:val="18"/>
              </w:rPr>
            </w:pPr>
          </w:p>
          <w:p>
            <w:pPr>
              <w:pStyle w:val="TableParagraph"/>
              <w:spacing w:line="188" w:lineRule="exact" w:before="1"/>
              <w:ind w:left="49" w:right="7"/>
              <w:jc w:val="center"/>
              <w:rPr>
                <w:sz w:val="18"/>
              </w:rPr>
            </w:pPr>
            <w:r>
              <w:rPr>
                <w:spacing w:val="-5"/>
                <w:w w:val="105"/>
                <w:sz w:val="18"/>
              </w:rPr>
              <w:t>15</w:t>
            </w:r>
          </w:p>
        </w:tc>
        <w:tc>
          <w:tcPr>
            <w:tcW w:w="789" w:type="dxa"/>
            <w:tcBorders>
              <w:bottom w:val="nil"/>
            </w:tcBorders>
          </w:tcPr>
          <w:p>
            <w:pPr>
              <w:pStyle w:val="TableParagraph"/>
              <w:rPr>
                <w:sz w:val="18"/>
              </w:rPr>
            </w:pPr>
          </w:p>
        </w:tc>
        <w:tc>
          <w:tcPr>
            <w:tcW w:w="880" w:type="dxa"/>
            <w:tcBorders>
              <w:bottom w:val="nil"/>
            </w:tcBorders>
          </w:tcPr>
          <w:p>
            <w:pPr>
              <w:pStyle w:val="TableParagraph"/>
              <w:rPr>
                <w:sz w:val="18"/>
              </w:rPr>
            </w:pPr>
          </w:p>
        </w:tc>
        <w:tc>
          <w:tcPr>
            <w:tcW w:w="962" w:type="dxa"/>
            <w:tcBorders>
              <w:bottom w:val="nil"/>
            </w:tcBorders>
          </w:tcPr>
          <w:p>
            <w:pPr>
              <w:pStyle w:val="TableParagraph"/>
              <w:rPr>
                <w:sz w:val="18"/>
              </w:rPr>
            </w:pPr>
          </w:p>
        </w:tc>
      </w:tr>
      <w:tr>
        <w:trPr>
          <w:trHeight w:val="199" w:hRule="atLeast"/>
        </w:trPr>
        <w:tc>
          <w:tcPr>
            <w:tcW w:w="433" w:type="dxa"/>
            <w:vMerge/>
            <w:tcBorders>
              <w:top w:val="nil"/>
            </w:tcBorders>
          </w:tcPr>
          <w:p>
            <w:pPr>
              <w:rPr>
                <w:sz w:val="2"/>
                <w:szCs w:val="2"/>
              </w:rPr>
            </w:pPr>
          </w:p>
        </w:tc>
        <w:tc>
          <w:tcPr>
            <w:tcW w:w="3572" w:type="dxa"/>
            <w:vMerge/>
            <w:tcBorders>
              <w:top w:val="nil"/>
            </w:tcBorders>
          </w:tcPr>
          <w:p>
            <w:pPr>
              <w:rPr>
                <w:sz w:val="2"/>
                <w:szCs w:val="2"/>
              </w:rPr>
            </w:pPr>
          </w:p>
        </w:tc>
        <w:tc>
          <w:tcPr>
            <w:tcW w:w="875" w:type="dxa"/>
            <w:tcBorders>
              <w:top w:val="nil"/>
              <w:bottom w:val="nil"/>
            </w:tcBorders>
          </w:tcPr>
          <w:p>
            <w:pPr>
              <w:pStyle w:val="TableParagraph"/>
              <w:spacing w:line="179" w:lineRule="exact"/>
              <w:ind w:left="47" w:right="8"/>
              <w:jc w:val="center"/>
              <w:rPr>
                <w:sz w:val="18"/>
              </w:rPr>
            </w:pPr>
            <w:r>
              <w:rPr>
                <w:spacing w:val="-4"/>
                <w:w w:val="105"/>
                <w:sz w:val="18"/>
              </w:rPr>
              <w:t>Less</w:t>
            </w:r>
          </w:p>
        </w:tc>
        <w:tc>
          <w:tcPr>
            <w:tcW w:w="880" w:type="dxa"/>
            <w:tcBorders>
              <w:top w:val="nil"/>
              <w:bottom w:val="nil"/>
            </w:tcBorders>
          </w:tcPr>
          <w:p>
            <w:pPr>
              <w:pStyle w:val="TableParagraph"/>
              <w:spacing w:line="179" w:lineRule="exact"/>
              <w:ind w:left="49" w:right="7"/>
              <w:jc w:val="center"/>
              <w:rPr>
                <w:sz w:val="18"/>
              </w:rPr>
            </w:pPr>
            <w:r>
              <w:rPr>
                <w:spacing w:val="-2"/>
                <w:w w:val="105"/>
                <w:sz w:val="18"/>
              </w:rPr>
              <w:t>minutes</w:t>
            </w:r>
          </w:p>
        </w:tc>
        <w:tc>
          <w:tcPr>
            <w:tcW w:w="789" w:type="dxa"/>
            <w:tcBorders>
              <w:top w:val="nil"/>
              <w:bottom w:val="nil"/>
            </w:tcBorders>
          </w:tcPr>
          <w:p>
            <w:pPr>
              <w:pStyle w:val="TableParagraph"/>
              <w:rPr>
                <w:sz w:val="12"/>
              </w:rPr>
            </w:pPr>
          </w:p>
        </w:tc>
        <w:tc>
          <w:tcPr>
            <w:tcW w:w="880" w:type="dxa"/>
            <w:tcBorders>
              <w:top w:val="nil"/>
              <w:bottom w:val="nil"/>
            </w:tcBorders>
          </w:tcPr>
          <w:p>
            <w:pPr>
              <w:pStyle w:val="TableParagraph"/>
              <w:rPr>
                <w:sz w:val="12"/>
              </w:rPr>
            </w:pPr>
          </w:p>
        </w:tc>
        <w:tc>
          <w:tcPr>
            <w:tcW w:w="962" w:type="dxa"/>
            <w:tcBorders>
              <w:top w:val="nil"/>
              <w:bottom w:val="nil"/>
            </w:tcBorders>
          </w:tcPr>
          <w:p>
            <w:pPr>
              <w:pStyle w:val="TableParagraph"/>
              <w:spacing w:line="179" w:lineRule="exact"/>
              <w:ind w:left="37" w:right="4"/>
              <w:jc w:val="center"/>
              <w:rPr>
                <w:sz w:val="18"/>
              </w:rPr>
            </w:pPr>
            <w:r>
              <w:rPr>
                <w:spacing w:val="-4"/>
                <w:w w:val="105"/>
                <w:sz w:val="18"/>
              </w:rPr>
              <w:t>More</w:t>
            </w:r>
          </w:p>
        </w:tc>
      </w:tr>
      <w:tr>
        <w:trPr>
          <w:trHeight w:val="206" w:hRule="atLeast"/>
        </w:trPr>
        <w:tc>
          <w:tcPr>
            <w:tcW w:w="433" w:type="dxa"/>
            <w:vMerge/>
            <w:tcBorders>
              <w:top w:val="nil"/>
            </w:tcBorders>
          </w:tcPr>
          <w:p>
            <w:pPr>
              <w:rPr>
                <w:sz w:val="2"/>
                <w:szCs w:val="2"/>
              </w:rPr>
            </w:pPr>
          </w:p>
        </w:tc>
        <w:tc>
          <w:tcPr>
            <w:tcW w:w="3572" w:type="dxa"/>
            <w:vMerge/>
            <w:tcBorders>
              <w:top w:val="nil"/>
            </w:tcBorders>
          </w:tcPr>
          <w:p>
            <w:pPr>
              <w:rPr>
                <w:sz w:val="2"/>
                <w:szCs w:val="2"/>
              </w:rPr>
            </w:pPr>
          </w:p>
        </w:tc>
        <w:tc>
          <w:tcPr>
            <w:tcW w:w="875" w:type="dxa"/>
            <w:tcBorders>
              <w:top w:val="nil"/>
              <w:bottom w:val="nil"/>
            </w:tcBorders>
          </w:tcPr>
          <w:p>
            <w:pPr>
              <w:pStyle w:val="TableParagraph"/>
              <w:spacing w:line="187" w:lineRule="exact"/>
              <w:ind w:left="47"/>
              <w:jc w:val="center"/>
              <w:rPr>
                <w:sz w:val="18"/>
              </w:rPr>
            </w:pPr>
            <w:r>
              <w:rPr>
                <w:w w:val="105"/>
                <w:sz w:val="18"/>
              </w:rPr>
              <w:t>than</w:t>
            </w:r>
            <w:r>
              <w:rPr>
                <w:spacing w:val="11"/>
                <w:w w:val="105"/>
                <w:sz w:val="18"/>
              </w:rPr>
              <w:t> </w:t>
            </w:r>
            <w:r>
              <w:rPr>
                <w:spacing w:val="-5"/>
                <w:w w:val="105"/>
                <w:sz w:val="18"/>
              </w:rPr>
              <w:t>15</w:t>
            </w:r>
          </w:p>
        </w:tc>
        <w:tc>
          <w:tcPr>
            <w:tcW w:w="880" w:type="dxa"/>
            <w:tcBorders>
              <w:top w:val="nil"/>
              <w:bottom w:val="nil"/>
            </w:tcBorders>
          </w:tcPr>
          <w:p>
            <w:pPr>
              <w:pStyle w:val="TableParagraph"/>
              <w:spacing w:line="187" w:lineRule="exact"/>
              <w:ind w:left="49" w:right="26"/>
              <w:jc w:val="center"/>
              <w:rPr>
                <w:sz w:val="18"/>
              </w:rPr>
            </w:pPr>
            <w:r>
              <w:rPr>
                <w:w w:val="105"/>
                <w:sz w:val="18"/>
              </w:rPr>
              <w:t>to</w:t>
            </w:r>
            <w:r>
              <w:rPr>
                <w:spacing w:val="28"/>
                <w:w w:val="105"/>
                <w:sz w:val="18"/>
              </w:rPr>
              <w:t> </w:t>
            </w:r>
            <w:r>
              <w:rPr>
                <w:spacing w:val="-10"/>
                <w:w w:val="105"/>
                <w:sz w:val="18"/>
              </w:rPr>
              <w:t>I</w:t>
            </w:r>
          </w:p>
        </w:tc>
        <w:tc>
          <w:tcPr>
            <w:tcW w:w="789" w:type="dxa"/>
            <w:tcBorders>
              <w:top w:val="nil"/>
              <w:bottom w:val="nil"/>
            </w:tcBorders>
          </w:tcPr>
          <w:p>
            <w:pPr>
              <w:pStyle w:val="TableParagraph"/>
              <w:spacing w:line="187" w:lineRule="exact"/>
              <w:ind w:left="49"/>
              <w:jc w:val="center"/>
              <w:rPr>
                <w:sz w:val="18"/>
              </w:rPr>
            </w:pPr>
            <w:r>
              <w:rPr>
                <w:sz w:val="18"/>
              </w:rPr>
              <w:t>1-</w:t>
            </w:r>
            <w:r>
              <w:rPr>
                <w:spacing w:val="-10"/>
                <w:sz w:val="18"/>
              </w:rPr>
              <w:t>3</w:t>
            </w:r>
          </w:p>
        </w:tc>
        <w:tc>
          <w:tcPr>
            <w:tcW w:w="880" w:type="dxa"/>
            <w:tcBorders>
              <w:top w:val="nil"/>
              <w:bottom w:val="nil"/>
            </w:tcBorders>
          </w:tcPr>
          <w:p>
            <w:pPr>
              <w:pStyle w:val="TableParagraph"/>
              <w:spacing w:line="187" w:lineRule="exact"/>
              <w:ind w:left="49" w:right="12"/>
              <w:jc w:val="center"/>
              <w:rPr>
                <w:sz w:val="18"/>
              </w:rPr>
            </w:pPr>
            <w:r>
              <w:rPr>
                <w:w w:val="105"/>
                <w:sz w:val="18"/>
              </w:rPr>
              <w:t>3-</w:t>
            </w:r>
            <w:r>
              <w:rPr>
                <w:spacing w:val="-10"/>
                <w:w w:val="105"/>
                <w:sz w:val="18"/>
              </w:rPr>
              <w:t>5</w:t>
            </w:r>
          </w:p>
        </w:tc>
        <w:tc>
          <w:tcPr>
            <w:tcW w:w="962" w:type="dxa"/>
            <w:tcBorders>
              <w:top w:val="nil"/>
              <w:bottom w:val="nil"/>
            </w:tcBorders>
          </w:tcPr>
          <w:p>
            <w:pPr>
              <w:pStyle w:val="TableParagraph"/>
              <w:spacing w:line="187" w:lineRule="exact"/>
              <w:ind w:left="37" w:right="18"/>
              <w:jc w:val="center"/>
              <w:rPr>
                <w:i/>
                <w:sz w:val="19"/>
              </w:rPr>
            </w:pPr>
            <w:r>
              <w:rPr>
                <w:sz w:val="18"/>
              </w:rPr>
              <w:t>than</w:t>
            </w:r>
            <w:r>
              <w:rPr>
                <w:spacing w:val="28"/>
                <w:sz w:val="18"/>
              </w:rPr>
              <w:t> </w:t>
            </w:r>
            <w:r>
              <w:rPr>
                <w:i/>
                <w:spacing w:val="-10"/>
                <w:sz w:val="19"/>
              </w:rPr>
              <w:t>5</w:t>
            </w:r>
          </w:p>
        </w:tc>
      </w:tr>
      <w:tr>
        <w:trPr>
          <w:trHeight w:val="202" w:hRule="atLeast"/>
        </w:trPr>
        <w:tc>
          <w:tcPr>
            <w:tcW w:w="433" w:type="dxa"/>
            <w:vMerge/>
            <w:tcBorders>
              <w:top w:val="nil"/>
            </w:tcBorders>
          </w:tcPr>
          <w:p>
            <w:pPr>
              <w:rPr>
                <w:sz w:val="2"/>
                <w:szCs w:val="2"/>
              </w:rPr>
            </w:pPr>
          </w:p>
        </w:tc>
        <w:tc>
          <w:tcPr>
            <w:tcW w:w="3572" w:type="dxa"/>
            <w:vMerge/>
            <w:tcBorders>
              <w:top w:val="nil"/>
            </w:tcBorders>
          </w:tcPr>
          <w:p>
            <w:pPr>
              <w:rPr>
                <w:sz w:val="2"/>
                <w:szCs w:val="2"/>
              </w:rPr>
            </w:pPr>
          </w:p>
        </w:tc>
        <w:tc>
          <w:tcPr>
            <w:tcW w:w="875" w:type="dxa"/>
            <w:tcBorders>
              <w:top w:val="nil"/>
              <w:bottom w:val="nil"/>
            </w:tcBorders>
          </w:tcPr>
          <w:p>
            <w:pPr>
              <w:pStyle w:val="TableParagraph"/>
              <w:spacing w:line="183" w:lineRule="exact"/>
              <w:ind w:left="47" w:right="4"/>
              <w:jc w:val="center"/>
              <w:rPr>
                <w:sz w:val="18"/>
              </w:rPr>
            </w:pPr>
            <w:r>
              <w:rPr>
                <w:spacing w:val="-2"/>
                <w:w w:val="105"/>
                <w:sz w:val="18"/>
              </w:rPr>
              <w:t>minutes</w:t>
            </w:r>
          </w:p>
        </w:tc>
        <w:tc>
          <w:tcPr>
            <w:tcW w:w="880" w:type="dxa"/>
            <w:tcBorders>
              <w:top w:val="nil"/>
              <w:bottom w:val="nil"/>
            </w:tcBorders>
          </w:tcPr>
          <w:p>
            <w:pPr>
              <w:pStyle w:val="TableParagraph"/>
              <w:spacing w:line="183" w:lineRule="exact"/>
              <w:ind w:left="49"/>
              <w:jc w:val="center"/>
              <w:rPr>
                <w:sz w:val="18"/>
              </w:rPr>
            </w:pPr>
            <w:r>
              <w:rPr>
                <w:w w:val="105"/>
                <w:sz w:val="18"/>
              </w:rPr>
              <w:t>hour</w:t>
            </w:r>
            <w:r>
              <w:rPr>
                <w:spacing w:val="4"/>
                <w:w w:val="105"/>
                <w:sz w:val="18"/>
              </w:rPr>
              <w:t> </w:t>
            </w:r>
            <w:r>
              <w:rPr>
                <w:spacing w:val="-10"/>
                <w:w w:val="105"/>
                <w:sz w:val="18"/>
              </w:rPr>
              <w:t>a</w:t>
            </w:r>
          </w:p>
        </w:tc>
        <w:tc>
          <w:tcPr>
            <w:tcW w:w="789" w:type="dxa"/>
            <w:tcBorders>
              <w:top w:val="nil"/>
              <w:bottom w:val="nil"/>
            </w:tcBorders>
          </w:tcPr>
          <w:p>
            <w:pPr>
              <w:pStyle w:val="TableParagraph"/>
              <w:spacing w:line="183" w:lineRule="exact"/>
              <w:ind w:left="49" w:right="6"/>
              <w:jc w:val="center"/>
              <w:rPr>
                <w:sz w:val="18"/>
              </w:rPr>
            </w:pPr>
            <w:r>
              <w:rPr>
                <w:w w:val="105"/>
                <w:sz w:val="18"/>
              </w:rPr>
              <w:t>hours</w:t>
            </w:r>
            <w:r>
              <w:rPr>
                <w:spacing w:val="-7"/>
                <w:w w:val="105"/>
                <w:sz w:val="18"/>
              </w:rPr>
              <w:t> </w:t>
            </w:r>
            <w:r>
              <w:rPr>
                <w:spacing w:val="-10"/>
                <w:w w:val="105"/>
                <w:sz w:val="18"/>
              </w:rPr>
              <w:t>a</w:t>
            </w:r>
          </w:p>
        </w:tc>
        <w:tc>
          <w:tcPr>
            <w:tcW w:w="880" w:type="dxa"/>
            <w:tcBorders>
              <w:top w:val="nil"/>
              <w:bottom w:val="nil"/>
            </w:tcBorders>
          </w:tcPr>
          <w:p>
            <w:pPr>
              <w:pStyle w:val="TableParagraph"/>
              <w:spacing w:line="183" w:lineRule="exact"/>
              <w:ind w:left="49" w:right="16"/>
              <w:jc w:val="center"/>
              <w:rPr>
                <w:sz w:val="18"/>
              </w:rPr>
            </w:pPr>
            <w:r>
              <w:rPr>
                <w:w w:val="105"/>
                <w:sz w:val="18"/>
              </w:rPr>
              <w:t>hours</w:t>
            </w:r>
            <w:r>
              <w:rPr>
                <w:spacing w:val="-2"/>
                <w:w w:val="105"/>
                <w:sz w:val="18"/>
              </w:rPr>
              <w:t> </w:t>
            </w:r>
            <w:r>
              <w:rPr>
                <w:spacing w:val="-10"/>
                <w:w w:val="110"/>
                <w:sz w:val="18"/>
              </w:rPr>
              <w:t>a</w:t>
            </w:r>
          </w:p>
        </w:tc>
        <w:tc>
          <w:tcPr>
            <w:tcW w:w="962" w:type="dxa"/>
            <w:tcBorders>
              <w:top w:val="nil"/>
              <w:bottom w:val="nil"/>
            </w:tcBorders>
          </w:tcPr>
          <w:p>
            <w:pPr>
              <w:pStyle w:val="TableParagraph"/>
              <w:spacing w:line="183" w:lineRule="exact"/>
              <w:ind w:left="37"/>
              <w:jc w:val="center"/>
              <w:rPr>
                <w:sz w:val="18"/>
              </w:rPr>
            </w:pPr>
            <w:r>
              <w:rPr>
                <w:w w:val="105"/>
                <w:sz w:val="18"/>
              </w:rPr>
              <w:t>hours</w:t>
            </w:r>
            <w:r>
              <w:rPr>
                <w:spacing w:val="-2"/>
                <w:w w:val="105"/>
                <w:sz w:val="18"/>
              </w:rPr>
              <w:t> </w:t>
            </w:r>
            <w:r>
              <w:rPr>
                <w:spacing w:val="-10"/>
                <w:w w:val="110"/>
                <w:sz w:val="18"/>
              </w:rPr>
              <w:t>a</w:t>
            </w:r>
          </w:p>
        </w:tc>
      </w:tr>
      <w:tr>
        <w:trPr>
          <w:trHeight w:val="192" w:hRule="atLeast"/>
        </w:trPr>
        <w:tc>
          <w:tcPr>
            <w:tcW w:w="433" w:type="dxa"/>
            <w:vMerge/>
            <w:tcBorders>
              <w:top w:val="nil"/>
            </w:tcBorders>
          </w:tcPr>
          <w:p>
            <w:pPr>
              <w:rPr>
                <w:sz w:val="2"/>
                <w:szCs w:val="2"/>
              </w:rPr>
            </w:pPr>
          </w:p>
        </w:tc>
        <w:tc>
          <w:tcPr>
            <w:tcW w:w="3572" w:type="dxa"/>
            <w:vMerge/>
            <w:tcBorders>
              <w:top w:val="nil"/>
            </w:tcBorders>
          </w:tcPr>
          <w:p>
            <w:pPr>
              <w:rPr>
                <w:sz w:val="2"/>
                <w:szCs w:val="2"/>
              </w:rPr>
            </w:pPr>
          </w:p>
        </w:tc>
        <w:tc>
          <w:tcPr>
            <w:tcW w:w="875" w:type="dxa"/>
            <w:tcBorders>
              <w:top w:val="nil"/>
            </w:tcBorders>
          </w:tcPr>
          <w:p>
            <w:pPr>
              <w:pStyle w:val="TableParagraph"/>
              <w:spacing w:line="172" w:lineRule="exact"/>
              <w:ind w:left="47" w:right="25"/>
              <w:jc w:val="center"/>
              <w:rPr>
                <w:sz w:val="18"/>
              </w:rPr>
            </w:pPr>
            <w:r>
              <w:rPr>
                <w:w w:val="110"/>
                <w:sz w:val="18"/>
              </w:rPr>
              <w:t>a</w:t>
            </w:r>
            <w:r>
              <w:rPr>
                <w:spacing w:val="-9"/>
                <w:w w:val="110"/>
                <w:sz w:val="18"/>
              </w:rPr>
              <w:t> </w:t>
            </w:r>
            <w:r>
              <w:rPr>
                <w:spacing w:val="-5"/>
                <w:w w:val="110"/>
                <w:sz w:val="18"/>
              </w:rPr>
              <w:t>day</w:t>
            </w:r>
          </w:p>
        </w:tc>
        <w:tc>
          <w:tcPr>
            <w:tcW w:w="880" w:type="dxa"/>
            <w:tcBorders>
              <w:top w:val="nil"/>
            </w:tcBorders>
          </w:tcPr>
          <w:p>
            <w:pPr>
              <w:pStyle w:val="TableParagraph"/>
              <w:spacing w:line="172" w:lineRule="exact"/>
              <w:ind w:left="49" w:right="32"/>
              <w:jc w:val="center"/>
              <w:rPr>
                <w:sz w:val="18"/>
              </w:rPr>
            </w:pPr>
            <w:r>
              <w:rPr>
                <w:spacing w:val="-5"/>
                <w:w w:val="105"/>
                <w:sz w:val="18"/>
              </w:rPr>
              <w:t>day</w:t>
            </w:r>
          </w:p>
        </w:tc>
        <w:tc>
          <w:tcPr>
            <w:tcW w:w="789" w:type="dxa"/>
            <w:tcBorders>
              <w:top w:val="nil"/>
            </w:tcBorders>
          </w:tcPr>
          <w:p>
            <w:pPr>
              <w:pStyle w:val="TableParagraph"/>
              <w:spacing w:line="172" w:lineRule="exact"/>
              <w:ind w:left="49" w:right="27"/>
              <w:jc w:val="center"/>
              <w:rPr>
                <w:sz w:val="18"/>
              </w:rPr>
            </w:pPr>
            <w:r>
              <w:rPr>
                <w:spacing w:val="-5"/>
                <w:sz w:val="18"/>
              </w:rPr>
              <w:t>day</w:t>
            </w:r>
          </w:p>
        </w:tc>
        <w:tc>
          <w:tcPr>
            <w:tcW w:w="880" w:type="dxa"/>
            <w:tcBorders>
              <w:top w:val="nil"/>
            </w:tcBorders>
          </w:tcPr>
          <w:p>
            <w:pPr>
              <w:pStyle w:val="TableParagraph"/>
              <w:spacing w:line="172" w:lineRule="exact"/>
              <w:ind w:left="49" w:right="39"/>
              <w:jc w:val="center"/>
              <w:rPr>
                <w:sz w:val="18"/>
              </w:rPr>
            </w:pPr>
            <w:r>
              <w:rPr>
                <w:spacing w:val="-5"/>
                <w:sz w:val="18"/>
              </w:rPr>
              <w:t>day</w:t>
            </w:r>
          </w:p>
        </w:tc>
        <w:tc>
          <w:tcPr>
            <w:tcW w:w="962" w:type="dxa"/>
            <w:tcBorders>
              <w:top w:val="nil"/>
            </w:tcBorders>
          </w:tcPr>
          <w:p>
            <w:pPr>
              <w:pStyle w:val="TableParagraph"/>
              <w:spacing w:line="172" w:lineRule="exact"/>
              <w:ind w:left="37" w:right="23"/>
              <w:jc w:val="center"/>
              <w:rPr>
                <w:sz w:val="18"/>
              </w:rPr>
            </w:pPr>
            <w:r>
              <w:rPr>
                <w:spacing w:val="-5"/>
                <w:sz w:val="18"/>
              </w:rPr>
              <w:t>day</w:t>
            </w:r>
          </w:p>
        </w:tc>
      </w:tr>
      <w:tr>
        <w:trPr>
          <w:trHeight w:val="542" w:hRule="atLeast"/>
        </w:trPr>
        <w:tc>
          <w:tcPr>
            <w:tcW w:w="433" w:type="dxa"/>
          </w:tcPr>
          <w:p>
            <w:pPr>
              <w:pStyle w:val="TableParagraph"/>
              <w:spacing w:before="180"/>
              <w:ind w:left="51" w:right="16"/>
              <w:jc w:val="center"/>
              <w:rPr>
                <w:sz w:val="18"/>
              </w:rPr>
            </w:pPr>
            <w:r>
              <w:rPr>
                <w:spacing w:val="-10"/>
                <w:w w:val="95"/>
                <w:sz w:val="18"/>
              </w:rPr>
              <w:t>I</w:t>
            </w:r>
          </w:p>
        </w:tc>
        <w:tc>
          <w:tcPr>
            <w:tcW w:w="3572" w:type="dxa"/>
          </w:tcPr>
          <w:p>
            <w:pPr>
              <w:pStyle w:val="TableParagraph"/>
              <w:spacing w:line="256" w:lineRule="auto" w:before="69"/>
              <w:ind w:left="123" w:right="100" w:hanging="6"/>
              <w:rPr>
                <w:sz w:val="18"/>
              </w:rPr>
            </w:pPr>
            <w:r>
              <w:rPr>
                <w:w w:val="105"/>
                <w:sz w:val="18"/>
              </w:rPr>
              <w:t>talking on the phone</w:t>
            </w:r>
            <w:r>
              <w:rPr>
                <w:spacing w:val="-1"/>
                <w:w w:val="105"/>
                <w:sz w:val="18"/>
              </w:rPr>
              <w:t> </w:t>
            </w:r>
            <w:r>
              <w:rPr>
                <w:w w:val="105"/>
                <w:sz w:val="18"/>
              </w:rPr>
              <w:t>with friends, </w:t>
            </w:r>
            <w:r>
              <w:rPr>
                <w:spacing w:val="-2"/>
                <w:w w:val="105"/>
                <w:sz w:val="18"/>
              </w:rPr>
              <w:t>neighbors?</w:t>
            </w:r>
          </w:p>
        </w:tc>
        <w:tc>
          <w:tcPr>
            <w:tcW w:w="875" w:type="dxa"/>
          </w:tcPr>
          <w:p>
            <w:pPr>
              <w:pStyle w:val="TableParagraph"/>
              <w:spacing w:before="180"/>
              <w:ind w:left="47" w:right="17"/>
              <w:jc w:val="center"/>
              <w:rPr>
                <w:sz w:val="18"/>
              </w:rPr>
            </w:pPr>
            <w:r>
              <w:rPr>
                <w:spacing w:val="-10"/>
                <w:sz w:val="18"/>
              </w:rPr>
              <w:t>I</w:t>
            </w:r>
          </w:p>
        </w:tc>
        <w:tc>
          <w:tcPr>
            <w:tcW w:w="880" w:type="dxa"/>
          </w:tcPr>
          <w:p>
            <w:pPr>
              <w:pStyle w:val="TableParagraph"/>
              <w:spacing w:before="170"/>
              <w:ind w:left="49" w:right="16"/>
              <w:jc w:val="center"/>
              <w:rPr>
                <w:sz w:val="19"/>
              </w:rPr>
            </w:pPr>
            <w:r>
              <w:rPr>
                <w:spacing w:val="-10"/>
                <w:sz w:val="19"/>
              </w:rPr>
              <w:t>2</w:t>
            </w:r>
          </w:p>
        </w:tc>
        <w:tc>
          <w:tcPr>
            <w:tcW w:w="789" w:type="dxa"/>
          </w:tcPr>
          <w:p>
            <w:pPr>
              <w:pStyle w:val="TableParagraph"/>
              <w:spacing w:before="185"/>
              <w:ind w:left="49" w:right="23"/>
              <w:jc w:val="center"/>
              <w:rPr>
                <w:sz w:val="18"/>
              </w:rPr>
            </w:pPr>
            <w:r>
              <w:rPr>
                <w:spacing w:val="-10"/>
                <w:sz w:val="18"/>
              </w:rPr>
              <w:t>3</w:t>
            </w:r>
          </w:p>
        </w:tc>
        <w:tc>
          <w:tcPr>
            <w:tcW w:w="880" w:type="dxa"/>
          </w:tcPr>
          <w:p>
            <w:pPr>
              <w:pStyle w:val="TableParagraph"/>
              <w:spacing w:before="180"/>
              <w:ind w:left="49" w:right="39"/>
              <w:jc w:val="center"/>
              <w:rPr>
                <w:sz w:val="18"/>
              </w:rPr>
            </w:pPr>
            <w:r>
              <w:rPr>
                <w:spacing w:val="-10"/>
                <w:sz w:val="18"/>
              </w:rPr>
              <w:t>4</w:t>
            </w:r>
          </w:p>
        </w:tc>
        <w:tc>
          <w:tcPr>
            <w:tcW w:w="962" w:type="dxa"/>
          </w:tcPr>
          <w:p>
            <w:pPr>
              <w:pStyle w:val="TableParagraph"/>
              <w:spacing w:before="180"/>
              <w:ind w:left="37" w:right="17"/>
              <w:jc w:val="center"/>
              <w:rPr>
                <w:i/>
                <w:sz w:val="19"/>
              </w:rPr>
            </w:pPr>
            <w:r>
              <w:rPr>
                <w:i/>
                <w:spacing w:val="-10"/>
                <w:sz w:val="19"/>
              </w:rPr>
              <w:t>5</w:t>
            </w:r>
          </w:p>
        </w:tc>
      </w:tr>
      <w:tr>
        <w:trPr>
          <w:trHeight w:val="537" w:hRule="atLeast"/>
        </w:trPr>
        <w:tc>
          <w:tcPr>
            <w:tcW w:w="433" w:type="dxa"/>
          </w:tcPr>
          <w:p>
            <w:pPr>
              <w:pStyle w:val="TableParagraph"/>
              <w:spacing w:before="175"/>
              <w:ind w:left="51" w:right="18"/>
              <w:jc w:val="center"/>
              <w:rPr>
                <w:sz w:val="18"/>
              </w:rPr>
            </w:pPr>
            <w:r>
              <w:rPr>
                <w:spacing w:val="-10"/>
                <w:w w:val="105"/>
                <w:sz w:val="18"/>
              </w:rPr>
              <w:t>2</w:t>
            </w:r>
          </w:p>
        </w:tc>
        <w:tc>
          <w:tcPr>
            <w:tcW w:w="3572" w:type="dxa"/>
          </w:tcPr>
          <w:p>
            <w:pPr>
              <w:pStyle w:val="TableParagraph"/>
              <w:spacing w:before="175"/>
              <w:ind w:left="122"/>
              <w:rPr>
                <w:sz w:val="18"/>
              </w:rPr>
            </w:pPr>
            <w:r>
              <w:rPr>
                <w:w w:val="105"/>
                <w:sz w:val="18"/>
              </w:rPr>
              <w:t>talking</w:t>
            </w:r>
            <w:r>
              <w:rPr>
                <w:spacing w:val="-1"/>
                <w:w w:val="105"/>
                <w:sz w:val="18"/>
              </w:rPr>
              <w:t> </w:t>
            </w:r>
            <w:r>
              <w:rPr>
                <w:w w:val="105"/>
                <w:sz w:val="18"/>
              </w:rPr>
              <w:t>on</w:t>
            </w:r>
            <w:r>
              <w:rPr>
                <w:spacing w:val="10"/>
                <w:w w:val="105"/>
                <w:sz w:val="18"/>
              </w:rPr>
              <w:t> </w:t>
            </w:r>
            <w:r>
              <w:rPr>
                <w:w w:val="105"/>
                <w:sz w:val="18"/>
              </w:rPr>
              <w:t>the</w:t>
            </w:r>
            <w:r>
              <w:rPr>
                <w:spacing w:val="9"/>
                <w:w w:val="105"/>
                <w:sz w:val="18"/>
              </w:rPr>
              <w:t> </w:t>
            </w:r>
            <w:r>
              <w:rPr>
                <w:w w:val="105"/>
                <w:sz w:val="18"/>
              </w:rPr>
              <w:t>phone</w:t>
            </w:r>
            <w:r>
              <w:rPr>
                <w:spacing w:val="3"/>
                <w:w w:val="105"/>
                <w:sz w:val="18"/>
              </w:rPr>
              <w:t> </w:t>
            </w:r>
            <w:r>
              <w:rPr>
                <w:w w:val="105"/>
                <w:sz w:val="18"/>
              </w:rPr>
              <w:t>with</w:t>
            </w:r>
            <w:r>
              <w:rPr>
                <w:spacing w:val="15"/>
                <w:w w:val="105"/>
                <w:sz w:val="18"/>
              </w:rPr>
              <w:t> </w:t>
            </w:r>
            <w:r>
              <w:rPr>
                <w:spacing w:val="-2"/>
                <w:w w:val="105"/>
                <w:sz w:val="18"/>
              </w:rPr>
              <w:t>relatives?</w:t>
            </w:r>
          </w:p>
        </w:tc>
        <w:tc>
          <w:tcPr>
            <w:tcW w:w="875" w:type="dxa"/>
          </w:tcPr>
          <w:p>
            <w:pPr>
              <w:pStyle w:val="TableParagraph"/>
              <w:spacing w:before="175"/>
              <w:ind w:left="47" w:right="17"/>
              <w:jc w:val="center"/>
              <w:rPr>
                <w:sz w:val="18"/>
              </w:rPr>
            </w:pPr>
            <w:r>
              <w:rPr>
                <w:spacing w:val="-10"/>
                <w:sz w:val="18"/>
              </w:rPr>
              <w:t>I</w:t>
            </w:r>
          </w:p>
        </w:tc>
        <w:tc>
          <w:tcPr>
            <w:tcW w:w="880" w:type="dxa"/>
          </w:tcPr>
          <w:p>
            <w:pPr>
              <w:pStyle w:val="TableParagraph"/>
              <w:spacing w:before="175"/>
              <w:ind w:left="49" w:right="9"/>
              <w:jc w:val="center"/>
              <w:rPr>
                <w:sz w:val="18"/>
              </w:rPr>
            </w:pPr>
            <w:r>
              <w:rPr>
                <w:spacing w:val="-10"/>
                <w:w w:val="110"/>
                <w:sz w:val="18"/>
              </w:rPr>
              <w:t>2</w:t>
            </w:r>
          </w:p>
        </w:tc>
        <w:tc>
          <w:tcPr>
            <w:tcW w:w="789" w:type="dxa"/>
          </w:tcPr>
          <w:p>
            <w:pPr>
              <w:pStyle w:val="TableParagraph"/>
              <w:spacing w:before="180"/>
              <w:ind w:left="49" w:right="2"/>
              <w:jc w:val="center"/>
              <w:rPr>
                <w:sz w:val="18"/>
              </w:rPr>
            </w:pPr>
            <w:r>
              <w:rPr>
                <w:spacing w:val="-10"/>
                <w:w w:val="110"/>
                <w:sz w:val="18"/>
              </w:rPr>
              <w:t>3</w:t>
            </w:r>
          </w:p>
        </w:tc>
        <w:tc>
          <w:tcPr>
            <w:tcW w:w="880" w:type="dxa"/>
          </w:tcPr>
          <w:p>
            <w:pPr>
              <w:pStyle w:val="TableParagraph"/>
              <w:spacing w:before="175"/>
              <w:ind w:left="49" w:right="19"/>
              <w:jc w:val="center"/>
              <w:rPr>
                <w:sz w:val="18"/>
              </w:rPr>
            </w:pPr>
            <w:r>
              <w:rPr>
                <w:spacing w:val="-10"/>
                <w:w w:val="110"/>
                <w:sz w:val="18"/>
              </w:rPr>
              <w:t>4</w:t>
            </w:r>
          </w:p>
        </w:tc>
        <w:tc>
          <w:tcPr>
            <w:tcW w:w="962" w:type="dxa"/>
          </w:tcPr>
          <w:p>
            <w:pPr>
              <w:pStyle w:val="TableParagraph"/>
              <w:spacing w:before="175"/>
              <w:ind w:left="37" w:right="14"/>
              <w:jc w:val="center"/>
              <w:rPr>
                <w:i/>
                <w:sz w:val="19"/>
              </w:rPr>
            </w:pPr>
            <w:r>
              <w:rPr>
                <w:i/>
                <w:spacing w:val="-10"/>
                <w:sz w:val="19"/>
              </w:rPr>
              <w:t>5</w:t>
            </w:r>
          </w:p>
        </w:tc>
      </w:tr>
      <w:tr>
        <w:trPr>
          <w:trHeight w:val="532" w:hRule="atLeast"/>
        </w:trPr>
        <w:tc>
          <w:tcPr>
            <w:tcW w:w="433" w:type="dxa"/>
          </w:tcPr>
          <w:p>
            <w:pPr>
              <w:pStyle w:val="TableParagraph"/>
              <w:spacing w:before="180"/>
              <w:ind w:left="51" w:right="29"/>
              <w:jc w:val="center"/>
              <w:rPr>
                <w:sz w:val="18"/>
              </w:rPr>
            </w:pPr>
            <w:r>
              <w:rPr>
                <w:spacing w:val="-10"/>
                <w:sz w:val="18"/>
              </w:rPr>
              <w:t>3</w:t>
            </w:r>
          </w:p>
        </w:tc>
        <w:tc>
          <w:tcPr>
            <w:tcW w:w="3572" w:type="dxa"/>
          </w:tcPr>
          <w:p>
            <w:pPr>
              <w:pStyle w:val="TableParagraph"/>
              <w:spacing w:before="175"/>
              <w:ind w:left="123"/>
              <w:rPr>
                <w:sz w:val="18"/>
              </w:rPr>
            </w:pPr>
            <w:r>
              <w:rPr>
                <w:w w:val="105"/>
                <w:sz w:val="18"/>
              </w:rPr>
              <w:t>watching</w:t>
            </w:r>
            <w:r>
              <w:rPr>
                <w:spacing w:val="11"/>
                <w:w w:val="105"/>
                <w:sz w:val="18"/>
              </w:rPr>
              <w:t> </w:t>
            </w:r>
            <w:r>
              <w:rPr>
                <w:w w:val="105"/>
                <w:sz w:val="18"/>
              </w:rPr>
              <w:t>television</w:t>
            </w:r>
            <w:r>
              <w:rPr>
                <w:spacing w:val="10"/>
                <w:w w:val="105"/>
                <w:sz w:val="18"/>
              </w:rPr>
              <w:t> </w:t>
            </w:r>
            <w:r>
              <w:rPr>
                <w:w w:val="105"/>
                <w:sz w:val="18"/>
              </w:rPr>
              <w:t>(total</w:t>
            </w:r>
            <w:r>
              <w:rPr>
                <w:spacing w:val="17"/>
                <w:w w:val="105"/>
                <w:sz w:val="18"/>
              </w:rPr>
              <w:t> </w:t>
            </w:r>
            <w:r>
              <w:rPr>
                <w:spacing w:val="-2"/>
                <w:w w:val="105"/>
                <w:sz w:val="18"/>
              </w:rPr>
              <w:t>time)?</w:t>
            </w:r>
          </w:p>
        </w:tc>
        <w:tc>
          <w:tcPr>
            <w:tcW w:w="875" w:type="dxa"/>
          </w:tcPr>
          <w:p>
            <w:pPr>
              <w:pStyle w:val="TableParagraph"/>
              <w:spacing w:before="175"/>
              <w:ind w:left="47" w:right="15"/>
              <w:jc w:val="center"/>
              <w:rPr>
                <w:sz w:val="18"/>
              </w:rPr>
            </w:pPr>
            <w:r>
              <w:rPr>
                <w:spacing w:val="-10"/>
                <w:sz w:val="18"/>
              </w:rPr>
              <w:t>1</w:t>
            </w:r>
          </w:p>
        </w:tc>
        <w:tc>
          <w:tcPr>
            <w:tcW w:w="880" w:type="dxa"/>
          </w:tcPr>
          <w:p>
            <w:pPr>
              <w:pStyle w:val="TableParagraph"/>
              <w:spacing w:before="175"/>
              <w:ind w:left="49" w:right="9"/>
              <w:jc w:val="center"/>
              <w:rPr>
                <w:sz w:val="18"/>
              </w:rPr>
            </w:pPr>
            <w:r>
              <w:rPr>
                <w:spacing w:val="-10"/>
                <w:w w:val="110"/>
                <w:sz w:val="18"/>
              </w:rPr>
              <w:t>2</w:t>
            </w:r>
          </w:p>
        </w:tc>
        <w:tc>
          <w:tcPr>
            <w:tcW w:w="789" w:type="dxa"/>
          </w:tcPr>
          <w:p>
            <w:pPr>
              <w:pStyle w:val="TableParagraph"/>
              <w:spacing w:before="180"/>
              <w:ind w:left="49" w:right="2"/>
              <w:jc w:val="center"/>
              <w:rPr>
                <w:sz w:val="18"/>
              </w:rPr>
            </w:pPr>
            <w:r>
              <w:rPr>
                <w:spacing w:val="-10"/>
                <w:w w:val="110"/>
                <w:sz w:val="18"/>
              </w:rPr>
              <w:t>3</w:t>
            </w:r>
          </w:p>
        </w:tc>
        <w:tc>
          <w:tcPr>
            <w:tcW w:w="880" w:type="dxa"/>
          </w:tcPr>
          <w:p>
            <w:pPr>
              <w:pStyle w:val="TableParagraph"/>
              <w:spacing w:before="175"/>
              <w:ind w:left="49" w:right="21"/>
              <w:jc w:val="center"/>
              <w:rPr>
                <w:sz w:val="18"/>
              </w:rPr>
            </w:pPr>
            <w:r>
              <w:rPr>
                <w:spacing w:val="-10"/>
                <w:w w:val="105"/>
                <w:sz w:val="18"/>
              </w:rPr>
              <w:t>4</w:t>
            </w:r>
          </w:p>
        </w:tc>
        <w:tc>
          <w:tcPr>
            <w:tcW w:w="962" w:type="dxa"/>
          </w:tcPr>
          <w:p>
            <w:pPr>
              <w:pStyle w:val="TableParagraph"/>
              <w:spacing w:before="175"/>
              <w:ind w:left="37" w:right="14"/>
              <w:jc w:val="center"/>
              <w:rPr>
                <w:i/>
                <w:sz w:val="19"/>
              </w:rPr>
            </w:pPr>
            <w:r>
              <w:rPr>
                <w:i/>
                <w:spacing w:val="-10"/>
                <w:sz w:val="19"/>
              </w:rPr>
              <w:t>5</w:t>
            </w:r>
          </w:p>
        </w:tc>
      </w:tr>
    </w:tbl>
    <w:p>
      <w:pPr>
        <w:spacing w:after="0"/>
        <w:jc w:val="center"/>
        <w:rPr>
          <w:sz w:val="19"/>
        </w:rPr>
        <w:sectPr>
          <w:headerReference w:type="default" r:id="rId45"/>
          <w:pgSz w:w="12530" w:h="15780"/>
          <w:pgMar w:header="1044" w:footer="0" w:top="1880" w:bottom="280" w:left="1760" w:right="1720"/>
        </w:sectPr>
      </w:pPr>
    </w:p>
    <w:tbl>
      <w:tblPr>
        <w:tblW w:w="0" w:type="auto"/>
        <w:jc w:val="left"/>
        <w:tblInd w:w="4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3"/>
        <w:gridCol w:w="3582"/>
        <w:gridCol w:w="880"/>
        <w:gridCol w:w="866"/>
        <w:gridCol w:w="794"/>
        <w:gridCol w:w="885"/>
        <w:gridCol w:w="957"/>
      </w:tblGrid>
      <w:tr>
        <w:trPr>
          <w:trHeight w:val="537" w:hRule="atLeast"/>
        </w:trPr>
        <w:tc>
          <w:tcPr>
            <w:tcW w:w="433" w:type="dxa"/>
          </w:tcPr>
          <w:p>
            <w:pPr>
              <w:pStyle w:val="TableParagraph"/>
              <w:spacing w:before="166"/>
              <w:ind w:left="51" w:right="17"/>
              <w:jc w:val="center"/>
              <w:rPr>
                <w:sz w:val="19"/>
              </w:rPr>
            </w:pPr>
            <w:r>
              <w:rPr>
                <w:spacing w:val="-10"/>
                <w:sz w:val="19"/>
              </w:rPr>
              <w:t>4</w:t>
            </w:r>
          </w:p>
        </w:tc>
        <w:tc>
          <w:tcPr>
            <w:tcW w:w="3582" w:type="dxa"/>
          </w:tcPr>
          <w:p>
            <w:pPr>
              <w:pStyle w:val="TableParagraph"/>
              <w:spacing w:before="166"/>
              <w:ind w:left="118"/>
              <w:rPr>
                <w:sz w:val="19"/>
              </w:rPr>
            </w:pPr>
            <w:r>
              <w:rPr>
                <w:sz w:val="19"/>
              </w:rPr>
              <w:t>listening</w:t>
            </w:r>
            <w:r>
              <w:rPr>
                <w:spacing w:val="15"/>
                <w:sz w:val="19"/>
              </w:rPr>
              <w:t> </w:t>
            </w:r>
            <w:r>
              <w:rPr>
                <w:sz w:val="19"/>
              </w:rPr>
              <w:t>to</w:t>
            </w:r>
            <w:r>
              <w:rPr>
                <w:spacing w:val="-2"/>
                <w:sz w:val="19"/>
              </w:rPr>
              <w:t> </w:t>
            </w:r>
            <w:r>
              <w:rPr>
                <w:sz w:val="19"/>
              </w:rPr>
              <w:t>the</w:t>
            </w:r>
            <w:r>
              <w:rPr>
                <w:spacing w:val="5"/>
                <w:sz w:val="19"/>
              </w:rPr>
              <w:t> </w:t>
            </w:r>
            <w:r>
              <w:rPr>
                <w:sz w:val="19"/>
              </w:rPr>
              <w:t>radio</w:t>
            </w:r>
            <w:r>
              <w:rPr>
                <w:spacing w:val="-5"/>
                <w:sz w:val="19"/>
              </w:rPr>
              <w:t> </w:t>
            </w:r>
            <w:r>
              <w:rPr>
                <w:sz w:val="19"/>
              </w:rPr>
              <w:t>(total</w:t>
            </w:r>
            <w:r>
              <w:rPr>
                <w:spacing w:val="15"/>
                <w:sz w:val="19"/>
              </w:rPr>
              <w:t> </w:t>
            </w:r>
            <w:r>
              <w:rPr>
                <w:spacing w:val="-2"/>
                <w:sz w:val="19"/>
              </w:rPr>
              <w:t>time)?</w:t>
            </w:r>
          </w:p>
        </w:tc>
        <w:tc>
          <w:tcPr>
            <w:tcW w:w="880" w:type="dxa"/>
          </w:tcPr>
          <w:p>
            <w:pPr>
              <w:pStyle w:val="TableParagraph"/>
              <w:spacing w:before="170"/>
              <w:ind w:left="49" w:right="21"/>
              <w:jc w:val="center"/>
              <w:rPr>
                <w:sz w:val="19"/>
              </w:rPr>
            </w:pPr>
            <w:r>
              <w:rPr>
                <w:spacing w:val="-10"/>
                <w:w w:val="90"/>
                <w:sz w:val="19"/>
              </w:rPr>
              <w:t>I</w:t>
            </w:r>
          </w:p>
        </w:tc>
        <w:tc>
          <w:tcPr>
            <w:tcW w:w="866" w:type="dxa"/>
          </w:tcPr>
          <w:p>
            <w:pPr>
              <w:pStyle w:val="TableParagraph"/>
              <w:spacing w:before="170"/>
              <w:ind w:left="37" w:right="10"/>
              <w:jc w:val="center"/>
              <w:rPr>
                <w:sz w:val="19"/>
              </w:rPr>
            </w:pPr>
            <w:r>
              <w:rPr>
                <w:spacing w:val="-10"/>
                <w:sz w:val="19"/>
              </w:rPr>
              <w:t>2</w:t>
            </w:r>
          </w:p>
        </w:tc>
        <w:tc>
          <w:tcPr>
            <w:tcW w:w="794" w:type="dxa"/>
          </w:tcPr>
          <w:p>
            <w:pPr>
              <w:pStyle w:val="TableParagraph"/>
              <w:spacing w:before="175"/>
              <w:ind w:left="51" w:right="10"/>
              <w:jc w:val="center"/>
              <w:rPr>
                <w:sz w:val="19"/>
              </w:rPr>
            </w:pPr>
            <w:r>
              <w:rPr>
                <w:spacing w:val="-10"/>
                <w:w w:val="105"/>
                <w:sz w:val="19"/>
              </w:rPr>
              <w:t>3</w:t>
            </w:r>
          </w:p>
        </w:tc>
        <w:tc>
          <w:tcPr>
            <w:tcW w:w="885" w:type="dxa"/>
          </w:tcPr>
          <w:p>
            <w:pPr>
              <w:pStyle w:val="TableParagraph"/>
              <w:spacing w:before="170"/>
              <w:ind w:left="35" w:right="6"/>
              <w:jc w:val="center"/>
              <w:rPr>
                <w:sz w:val="19"/>
              </w:rPr>
            </w:pPr>
            <w:r>
              <w:rPr>
                <w:spacing w:val="-10"/>
                <w:sz w:val="19"/>
              </w:rPr>
              <w:t>4</w:t>
            </w:r>
          </w:p>
        </w:tc>
        <w:tc>
          <w:tcPr>
            <w:tcW w:w="957" w:type="dxa"/>
          </w:tcPr>
          <w:p>
            <w:pPr>
              <w:pStyle w:val="TableParagraph"/>
              <w:spacing w:before="175"/>
              <w:ind w:left="34" w:right="9"/>
              <w:jc w:val="center"/>
              <w:rPr>
                <w:sz w:val="19"/>
              </w:rPr>
            </w:pPr>
            <w:r>
              <w:rPr>
                <w:spacing w:val="-10"/>
                <w:w w:val="105"/>
                <w:sz w:val="19"/>
              </w:rPr>
              <w:t>5</w:t>
            </w:r>
          </w:p>
        </w:tc>
      </w:tr>
      <w:tr>
        <w:trPr>
          <w:trHeight w:val="542" w:hRule="atLeast"/>
        </w:trPr>
        <w:tc>
          <w:tcPr>
            <w:tcW w:w="433" w:type="dxa"/>
          </w:tcPr>
          <w:p>
            <w:pPr>
              <w:pStyle w:val="TableParagraph"/>
              <w:spacing w:before="170"/>
              <w:ind w:left="51" w:right="6"/>
              <w:jc w:val="center"/>
              <w:rPr>
                <w:sz w:val="19"/>
              </w:rPr>
            </w:pPr>
            <w:r>
              <w:rPr>
                <w:spacing w:val="-10"/>
                <w:w w:val="105"/>
                <w:sz w:val="19"/>
              </w:rPr>
              <w:t>5</w:t>
            </w:r>
          </w:p>
        </w:tc>
        <w:tc>
          <w:tcPr>
            <w:tcW w:w="3582" w:type="dxa"/>
          </w:tcPr>
          <w:p>
            <w:pPr>
              <w:pStyle w:val="TableParagraph"/>
              <w:spacing w:line="242" w:lineRule="auto" w:before="60"/>
              <w:ind w:left="118" w:right="45" w:firstLine="4"/>
              <w:rPr>
                <w:sz w:val="19"/>
              </w:rPr>
            </w:pPr>
            <w:r>
              <w:rPr>
                <w:sz w:val="19"/>
              </w:rPr>
              <w:t>listening to the news</w:t>
            </w:r>
            <w:r>
              <w:rPr>
                <w:spacing w:val="-3"/>
                <w:sz w:val="19"/>
              </w:rPr>
              <w:t> </w:t>
            </w:r>
            <w:r>
              <w:rPr>
                <w:sz w:val="19"/>
              </w:rPr>
              <w:t>on the</w:t>
            </w:r>
            <w:r>
              <w:rPr>
                <w:spacing w:val="-2"/>
                <w:sz w:val="19"/>
              </w:rPr>
              <w:t> </w:t>
            </w:r>
            <w:r>
              <w:rPr>
                <w:sz w:val="19"/>
              </w:rPr>
              <w:t>radio or watching news on television?</w:t>
            </w:r>
          </w:p>
        </w:tc>
        <w:tc>
          <w:tcPr>
            <w:tcW w:w="880" w:type="dxa"/>
          </w:tcPr>
          <w:p>
            <w:pPr>
              <w:pStyle w:val="TableParagraph"/>
              <w:spacing w:before="170"/>
              <w:ind w:left="49" w:right="17"/>
              <w:jc w:val="center"/>
              <w:rPr>
                <w:sz w:val="19"/>
              </w:rPr>
            </w:pPr>
            <w:r>
              <w:rPr>
                <w:spacing w:val="-10"/>
                <w:w w:val="80"/>
                <w:sz w:val="19"/>
              </w:rPr>
              <w:t>I</w:t>
            </w:r>
          </w:p>
        </w:tc>
        <w:tc>
          <w:tcPr>
            <w:tcW w:w="866" w:type="dxa"/>
          </w:tcPr>
          <w:p>
            <w:pPr>
              <w:pStyle w:val="TableParagraph"/>
              <w:spacing w:before="170"/>
              <w:ind w:left="37"/>
              <w:jc w:val="center"/>
              <w:rPr>
                <w:sz w:val="19"/>
              </w:rPr>
            </w:pPr>
            <w:r>
              <w:rPr>
                <w:spacing w:val="-10"/>
                <w:sz w:val="19"/>
              </w:rPr>
              <w:t>2</w:t>
            </w:r>
          </w:p>
        </w:tc>
        <w:tc>
          <w:tcPr>
            <w:tcW w:w="794" w:type="dxa"/>
          </w:tcPr>
          <w:p>
            <w:pPr>
              <w:pStyle w:val="TableParagraph"/>
              <w:spacing w:before="175"/>
              <w:ind w:left="51" w:right="10"/>
              <w:jc w:val="center"/>
              <w:rPr>
                <w:sz w:val="19"/>
              </w:rPr>
            </w:pPr>
            <w:r>
              <w:rPr>
                <w:spacing w:val="-10"/>
                <w:w w:val="105"/>
                <w:sz w:val="19"/>
              </w:rPr>
              <w:t>3</w:t>
            </w:r>
          </w:p>
        </w:tc>
        <w:tc>
          <w:tcPr>
            <w:tcW w:w="885" w:type="dxa"/>
          </w:tcPr>
          <w:p>
            <w:pPr>
              <w:pStyle w:val="TableParagraph"/>
              <w:spacing w:before="170"/>
              <w:ind w:left="35" w:right="6"/>
              <w:jc w:val="center"/>
              <w:rPr>
                <w:sz w:val="19"/>
              </w:rPr>
            </w:pPr>
            <w:r>
              <w:rPr>
                <w:spacing w:val="-10"/>
                <w:sz w:val="19"/>
              </w:rPr>
              <w:t>4</w:t>
            </w:r>
          </w:p>
        </w:tc>
        <w:tc>
          <w:tcPr>
            <w:tcW w:w="957" w:type="dxa"/>
          </w:tcPr>
          <w:p>
            <w:pPr>
              <w:pStyle w:val="TableParagraph"/>
              <w:spacing w:before="175"/>
              <w:ind w:left="34" w:right="6"/>
              <w:jc w:val="center"/>
              <w:rPr>
                <w:sz w:val="19"/>
              </w:rPr>
            </w:pPr>
            <w:r>
              <w:rPr>
                <w:spacing w:val="-10"/>
                <w:sz w:val="19"/>
              </w:rPr>
              <w:t>5</w:t>
            </w:r>
          </w:p>
        </w:tc>
      </w:tr>
      <w:tr>
        <w:trPr>
          <w:trHeight w:val="542" w:hRule="atLeast"/>
        </w:trPr>
        <w:tc>
          <w:tcPr>
            <w:tcW w:w="433" w:type="dxa"/>
          </w:tcPr>
          <w:p>
            <w:pPr>
              <w:pStyle w:val="TableParagraph"/>
              <w:spacing w:before="180"/>
              <w:ind w:left="51" w:right="30"/>
              <w:jc w:val="center"/>
              <w:rPr>
                <w:sz w:val="18"/>
              </w:rPr>
            </w:pPr>
            <w:r>
              <w:rPr>
                <w:spacing w:val="-10"/>
                <w:sz w:val="18"/>
              </w:rPr>
              <w:t>6</w:t>
            </w:r>
          </w:p>
        </w:tc>
        <w:tc>
          <w:tcPr>
            <w:tcW w:w="3582" w:type="dxa"/>
          </w:tcPr>
          <w:p>
            <w:pPr>
              <w:pStyle w:val="TableParagraph"/>
              <w:spacing w:before="170"/>
              <w:ind w:left="118"/>
              <w:rPr>
                <w:sz w:val="19"/>
              </w:rPr>
            </w:pPr>
            <w:r>
              <w:rPr>
                <w:sz w:val="19"/>
              </w:rPr>
              <w:t>reading</w:t>
            </w:r>
            <w:r>
              <w:rPr>
                <w:spacing w:val="11"/>
                <w:sz w:val="19"/>
              </w:rPr>
              <w:t> </w:t>
            </w:r>
            <w:r>
              <w:rPr>
                <w:spacing w:val="-2"/>
                <w:sz w:val="19"/>
              </w:rPr>
              <w:t>newspapers?</w:t>
            </w:r>
          </w:p>
        </w:tc>
        <w:tc>
          <w:tcPr>
            <w:tcW w:w="880" w:type="dxa"/>
          </w:tcPr>
          <w:p>
            <w:pPr>
              <w:pStyle w:val="TableParagraph"/>
              <w:spacing w:before="170"/>
              <w:ind w:left="49" w:right="12"/>
              <w:jc w:val="center"/>
              <w:rPr>
                <w:sz w:val="19"/>
              </w:rPr>
            </w:pPr>
            <w:r>
              <w:rPr>
                <w:spacing w:val="-10"/>
                <w:w w:val="90"/>
                <w:sz w:val="19"/>
              </w:rPr>
              <w:t>I</w:t>
            </w:r>
          </w:p>
        </w:tc>
        <w:tc>
          <w:tcPr>
            <w:tcW w:w="866" w:type="dxa"/>
          </w:tcPr>
          <w:p>
            <w:pPr>
              <w:pStyle w:val="TableParagraph"/>
              <w:spacing w:before="170"/>
              <w:ind w:left="37" w:right="4"/>
              <w:jc w:val="center"/>
              <w:rPr>
                <w:sz w:val="19"/>
              </w:rPr>
            </w:pPr>
            <w:r>
              <w:rPr>
                <w:spacing w:val="-10"/>
                <w:sz w:val="19"/>
              </w:rPr>
              <w:t>2</w:t>
            </w:r>
          </w:p>
        </w:tc>
        <w:tc>
          <w:tcPr>
            <w:tcW w:w="794" w:type="dxa"/>
          </w:tcPr>
          <w:p>
            <w:pPr>
              <w:pStyle w:val="TableParagraph"/>
              <w:spacing w:before="175"/>
              <w:ind w:left="51" w:right="10"/>
              <w:jc w:val="center"/>
              <w:rPr>
                <w:sz w:val="19"/>
              </w:rPr>
            </w:pPr>
            <w:r>
              <w:rPr>
                <w:spacing w:val="-10"/>
                <w:w w:val="105"/>
                <w:sz w:val="19"/>
              </w:rPr>
              <w:t>3</w:t>
            </w:r>
          </w:p>
        </w:tc>
        <w:tc>
          <w:tcPr>
            <w:tcW w:w="885" w:type="dxa"/>
          </w:tcPr>
          <w:p>
            <w:pPr>
              <w:pStyle w:val="TableParagraph"/>
              <w:spacing w:before="170"/>
              <w:ind w:left="35" w:right="10"/>
              <w:jc w:val="center"/>
              <w:rPr>
                <w:sz w:val="19"/>
              </w:rPr>
            </w:pPr>
            <w:r>
              <w:rPr>
                <w:spacing w:val="-10"/>
                <w:w w:val="105"/>
                <w:sz w:val="19"/>
              </w:rPr>
              <w:t>4</w:t>
            </w:r>
          </w:p>
        </w:tc>
        <w:tc>
          <w:tcPr>
            <w:tcW w:w="957" w:type="dxa"/>
          </w:tcPr>
          <w:p>
            <w:pPr>
              <w:pStyle w:val="TableParagraph"/>
              <w:spacing w:before="180"/>
              <w:ind w:left="34" w:right="9"/>
              <w:jc w:val="center"/>
              <w:rPr>
                <w:sz w:val="19"/>
              </w:rPr>
            </w:pPr>
            <w:r>
              <w:rPr>
                <w:spacing w:val="-10"/>
                <w:w w:val="105"/>
                <w:sz w:val="19"/>
              </w:rPr>
              <w:t>5</w:t>
            </w:r>
          </w:p>
        </w:tc>
      </w:tr>
      <w:tr>
        <w:trPr>
          <w:trHeight w:val="542" w:hRule="atLeast"/>
        </w:trPr>
        <w:tc>
          <w:tcPr>
            <w:tcW w:w="433" w:type="dxa"/>
          </w:tcPr>
          <w:p>
            <w:pPr>
              <w:pStyle w:val="TableParagraph"/>
              <w:spacing w:before="170"/>
              <w:ind w:left="51" w:right="3"/>
              <w:jc w:val="center"/>
              <w:rPr>
                <w:sz w:val="19"/>
              </w:rPr>
            </w:pPr>
            <w:r>
              <w:rPr>
                <w:spacing w:val="-10"/>
                <w:sz w:val="19"/>
              </w:rPr>
              <w:t>7</w:t>
            </w:r>
          </w:p>
        </w:tc>
        <w:tc>
          <w:tcPr>
            <w:tcW w:w="3582" w:type="dxa"/>
          </w:tcPr>
          <w:p>
            <w:pPr>
              <w:pStyle w:val="TableParagraph"/>
              <w:spacing w:before="170"/>
              <w:ind w:left="123"/>
              <w:rPr>
                <w:sz w:val="19"/>
              </w:rPr>
            </w:pPr>
            <w:r>
              <w:rPr>
                <w:sz w:val="19"/>
              </w:rPr>
              <w:t>reading</w:t>
            </w:r>
            <w:r>
              <w:rPr>
                <w:spacing w:val="15"/>
                <w:sz w:val="19"/>
              </w:rPr>
              <w:t> </w:t>
            </w:r>
            <w:r>
              <w:rPr>
                <w:sz w:val="19"/>
              </w:rPr>
              <w:t>magazines</w:t>
            </w:r>
            <w:r>
              <w:rPr>
                <w:spacing w:val="4"/>
                <w:sz w:val="19"/>
              </w:rPr>
              <w:t> </w:t>
            </w:r>
            <w:r>
              <w:rPr>
                <w:sz w:val="19"/>
              </w:rPr>
              <w:t>or </w:t>
            </w:r>
            <w:r>
              <w:rPr>
                <w:spacing w:val="-2"/>
                <w:sz w:val="19"/>
              </w:rPr>
              <w:t>books?</w:t>
            </w:r>
          </w:p>
        </w:tc>
        <w:tc>
          <w:tcPr>
            <w:tcW w:w="880" w:type="dxa"/>
          </w:tcPr>
          <w:p>
            <w:pPr>
              <w:pStyle w:val="TableParagraph"/>
              <w:spacing w:before="175"/>
              <w:ind w:left="49" w:right="12"/>
              <w:jc w:val="center"/>
              <w:rPr>
                <w:sz w:val="19"/>
              </w:rPr>
            </w:pPr>
            <w:r>
              <w:rPr>
                <w:spacing w:val="-10"/>
                <w:w w:val="90"/>
                <w:sz w:val="19"/>
              </w:rPr>
              <w:t>I</w:t>
            </w:r>
          </w:p>
        </w:tc>
        <w:tc>
          <w:tcPr>
            <w:tcW w:w="866" w:type="dxa"/>
          </w:tcPr>
          <w:p>
            <w:pPr>
              <w:pStyle w:val="TableParagraph"/>
              <w:spacing w:before="170"/>
              <w:ind w:left="37"/>
              <w:jc w:val="center"/>
              <w:rPr>
                <w:sz w:val="19"/>
              </w:rPr>
            </w:pPr>
            <w:r>
              <w:rPr>
                <w:spacing w:val="-10"/>
                <w:sz w:val="19"/>
              </w:rPr>
              <w:t>2</w:t>
            </w:r>
          </w:p>
        </w:tc>
        <w:tc>
          <w:tcPr>
            <w:tcW w:w="794" w:type="dxa"/>
          </w:tcPr>
          <w:p>
            <w:pPr>
              <w:pStyle w:val="TableParagraph"/>
              <w:spacing w:before="175"/>
              <w:ind w:left="51" w:right="10"/>
              <w:jc w:val="center"/>
              <w:rPr>
                <w:sz w:val="19"/>
              </w:rPr>
            </w:pPr>
            <w:r>
              <w:rPr>
                <w:spacing w:val="-10"/>
                <w:w w:val="105"/>
                <w:sz w:val="19"/>
              </w:rPr>
              <w:t>3</w:t>
            </w:r>
          </w:p>
        </w:tc>
        <w:tc>
          <w:tcPr>
            <w:tcW w:w="885" w:type="dxa"/>
          </w:tcPr>
          <w:p>
            <w:pPr>
              <w:pStyle w:val="TableParagraph"/>
              <w:spacing w:before="166"/>
              <w:ind w:left="35" w:right="10"/>
              <w:jc w:val="center"/>
              <w:rPr>
                <w:sz w:val="19"/>
              </w:rPr>
            </w:pPr>
            <w:r>
              <w:rPr>
                <w:spacing w:val="-10"/>
                <w:w w:val="105"/>
                <w:sz w:val="19"/>
              </w:rPr>
              <w:t>4</w:t>
            </w:r>
          </w:p>
        </w:tc>
        <w:tc>
          <w:tcPr>
            <w:tcW w:w="957" w:type="dxa"/>
          </w:tcPr>
          <w:p>
            <w:pPr>
              <w:pStyle w:val="TableParagraph"/>
              <w:spacing w:before="175"/>
              <w:ind w:left="34" w:right="3"/>
              <w:jc w:val="center"/>
              <w:rPr>
                <w:sz w:val="19"/>
              </w:rPr>
            </w:pPr>
            <w:r>
              <w:rPr>
                <w:spacing w:val="-10"/>
                <w:w w:val="110"/>
                <w:sz w:val="19"/>
              </w:rPr>
              <w:t>5</w:t>
            </w:r>
          </w:p>
        </w:tc>
      </w:tr>
      <w:tr>
        <w:trPr>
          <w:trHeight w:val="537" w:hRule="atLeast"/>
        </w:trPr>
        <w:tc>
          <w:tcPr>
            <w:tcW w:w="433" w:type="dxa"/>
          </w:tcPr>
          <w:p>
            <w:pPr>
              <w:pStyle w:val="TableParagraph"/>
              <w:spacing w:before="170"/>
              <w:ind w:left="51"/>
              <w:jc w:val="center"/>
              <w:rPr>
                <w:sz w:val="19"/>
              </w:rPr>
            </w:pPr>
            <w:r>
              <w:rPr>
                <w:spacing w:val="-10"/>
                <w:w w:val="105"/>
                <w:sz w:val="19"/>
              </w:rPr>
              <w:t>8</w:t>
            </w:r>
          </w:p>
        </w:tc>
        <w:tc>
          <w:tcPr>
            <w:tcW w:w="3582" w:type="dxa"/>
          </w:tcPr>
          <w:p>
            <w:pPr>
              <w:pStyle w:val="TableParagraph"/>
              <w:spacing w:line="242" w:lineRule="auto" w:before="60"/>
              <w:ind w:left="123"/>
              <w:rPr>
                <w:sz w:val="19"/>
              </w:rPr>
            </w:pPr>
            <w:r>
              <w:rPr>
                <w:sz w:val="19"/>
              </w:rPr>
              <w:t>working</w:t>
            </w:r>
            <w:r>
              <w:rPr>
                <w:spacing w:val="-2"/>
                <w:sz w:val="19"/>
              </w:rPr>
              <w:t> </w:t>
            </w:r>
            <w:r>
              <w:rPr>
                <w:sz w:val="19"/>
              </w:rPr>
              <w:t>on hobbies or projects around the </w:t>
            </w:r>
            <w:r>
              <w:rPr>
                <w:spacing w:val="-2"/>
                <w:sz w:val="19"/>
              </w:rPr>
              <w:t>house?</w:t>
            </w:r>
          </w:p>
        </w:tc>
        <w:tc>
          <w:tcPr>
            <w:tcW w:w="880" w:type="dxa"/>
          </w:tcPr>
          <w:p>
            <w:pPr>
              <w:pStyle w:val="TableParagraph"/>
              <w:spacing w:before="170"/>
              <w:ind w:left="49" w:right="6"/>
              <w:jc w:val="center"/>
              <w:rPr>
                <w:sz w:val="19"/>
              </w:rPr>
            </w:pPr>
            <w:r>
              <w:rPr>
                <w:spacing w:val="-10"/>
                <w:w w:val="95"/>
                <w:sz w:val="19"/>
              </w:rPr>
              <w:t>I</w:t>
            </w:r>
          </w:p>
        </w:tc>
        <w:tc>
          <w:tcPr>
            <w:tcW w:w="866" w:type="dxa"/>
          </w:tcPr>
          <w:p>
            <w:pPr>
              <w:pStyle w:val="TableParagraph"/>
              <w:spacing w:before="170"/>
              <w:ind w:left="37"/>
              <w:jc w:val="center"/>
              <w:rPr>
                <w:sz w:val="19"/>
              </w:rPr>
            </w:pPr>
            <w:r>
              <w:rPr>
                <w:spacing w:val="-10"/>
                <w:sz w:val="19"/>
              </w:rPr>
              <w:t>2</w:t>
            </w:r>
          </w:p>
        </w:tc>
        <w:tc>
          <w:tcPr>
            <w:tcW w:w="794" w:type="dxa"/>
          </w:tcPr>
          <w:p>
            <w:pPr>
              <w:pStyle w:val="TableParagraph"/>
              <w:spacing w:before="170"/>
              <w:ind w:left="51"/>
              <w:jc w:val="center"/>
              <w:rPr>
                <w:sz w:val="19"/>
              </w:rPr>
            </w:pPr>
            <w:r>
              <w:rPr>
                <w:spacing w:val="-10"/>
                <w:w w:val="105"/>
                <w:sz w:val="19"/>
              </w:rPr>
              <w:t>3</w:t>
            </w:r>
          </w:p>
        </w:tc>
        <w:tc>
          <w:tcPr>
            <w:tcW w:w="885" w:type="dxa"/>
          </w:tcPr>
          <w:p>
            <w:pPr>
              <w:pStyle w:val="TableParagraph"/>
              <w:spacing w:before="166"/>
              <w:ind w:left="35"/>
              <w:jc w:val="center"/>
              <w:rPr>
                <w:sz w:val="19"/>
              </w:rPr>
            </w:pPr>
            <w:r>
              <w:rPr>
                <w:spacing w:val="-10"/>
                <w:w w:val="105"/>
                <w:sz w:val="19"/>
              </w:rPr>
              <w:t>4</w:t>
            </w:r>
          </w:p>
        </w:tc>
        <w:tc>
          <w:tcPr>
            <w:tcW w:w="957" w:type="dxa"/>
          </w:tcPr>
          <w:p>
            <w:pPr>
              <w:pStyle w:val="TableParagraph"/>
              <w:spacing w:before="175"/>
              <w:ind w:left="34"/>
              <w:jc w:val="center"/>
              <w:rPr>
                <w:sz w:val="19"/>
              </w:rPr>
            </w:pPr>
            <w:r>
              <w:rPr>
                <w:spacing w:val="-10"/>
                <w:w w:val="105"/>
                <w:sz w:val="19"/>
              </w:rPr>
              <w:t>5</w:t>
            </w:r>
          </w:p>
        </w:tc>
      </w:tr>
    </w:tbl>
    <w:p>
      <w:pPr>
        <w:spacing w:after="0"/>
        <w:jc w:val="center"/>
        <w:rPr>
          <w:sz w:val="19"/>
        </w:rPr>
        <w:sectPr>
          <w:headerReference w:type="default" r:id="rId46"/>
          <w:pgSz w:w="12490" w:h="15770"/>
          <w:pgMar w:header="1044" w:footer="0" w:top="1680" w:bottom="280" w:left="1760" w:right="1760"/>
        </w:sectPr>
      </w:pPr>
    </w:p>
    <w:p>
      <w:pPr>
        <w:pStyle w:val="BodyText"/>
      </w:pPr>
    </w:p>
    <w:p>
      <w:pPr>
        <w:pStyle w:val="BodyText"/>
      </w:pPr>
    </w:p>
    <w:p>
      <w:pPr>
        <w:pStyle w:val="BodyText"/>
      </w:pPr>
    </w:p>
    <w:p>
      <w:pPr>
        <w:pStyle w:val="BodyText"/>
      </w:pPr>
    </w:p>
    <w:p>
      <w:pPr>
        <w:pStyle w:val="BodyText"/>
        <w:spacing w:before="128"/>
      </w:pPr>
    </w:p>
    <w:p>
      <w:pPr>
        <w:pStyle w:val="BodyText"/>
        <w:ind w:left="354"/>
        <w:jc w:val="center"/>
      </w:pPr>
      <w:r>
        <w:rPr>
          <w:spacing w:val="-2"/>
          <w:w w:val="105"/>
        </w:rPr>
        <w:t>REFERENCES</w:t>
      </w:r>
    </w:p>
    <w:p>
      <w:pPr>
        <w:pStyle w:val="BodyText"/>
      </w:pPr>
    </w:p>
    <w:p>
      <w:pPr>
        <w:pStyle w:val="BodyText"/>
        <w:spacing w:before="24"/>
      </w:pPr>
    </w:p>
    <w:p>
      <w:pPr>
        <w:pStyle w:val="BodyText"/>
        <w:spacing w:line="249" w:lineRule="auto"/>
        <w:ind w:left="890" w:right="149" w:hanging="418"/>
      </w:pPr>
      <w:r>
        <w:rPr>
          <w:w w:val="105"/>
        </w:rPr>
        <w:t>Allan,</w:t>
      </w:r>
      <w:r>
        <w:rPr>
          <w:spacing w:val="-2"/>
          <w:w w:val="105"/>
        </w:rPr>
        <w:t> </w:t>
      </w:r>
      <w:r>
        <w:rPr>
          <w:w w:val="105"/>
        </w:rPr>
        <w:t>J. L.,</w:t>
      </w:r>
      <w:r>
        <w:rPr>
          <w:spacing w:val="-10"/>
          <w:w w:val="105"/>
        </w:rPr>
        <w:t> </w:t>
      </w:r>
      <w:r>
        <w:rPr>
          <w:w w:val="105"/>
        </w:rPr>
        <w:t>Johnston, D.</w:t>
      </w:r>
      <w:r>
        <w:rPr>
          <w:spacing w:val="-2"/>
          <w:w w:val="105"/>
        </w:rPr>
        <w:t> </w:t>
      </w:r>
      <w:r>
        <w:rPr>
          <w:w w:val="105"/>
        </w:rPr>
        <w:t>W.,</w:t>
      </w:r>
      <w:r>
        <w:rPr>
          <w:spacing w:val="-9"/>
          <w:w w:val="105"/>
        </w:rPr>
        <w:t> </w:t>
      </w:r>
      <w:r>
        <w:rPr>
          <w:w w:val="105"/>
        </w:rPr>
        <w:t>Johnston, M.,</w:t>
      </w:r>
      <w:r>
        <w:rPr>
          <w:spacing w:val="-7"/>
          <w:w w:val="105"/>
        </w:rPr>
        <w:t> </w:t>
      </w:r>
      <w:r>
        <w:rPr>
          <w:w w:val="105"/>
        </w:rPr>
        <w:t>&amp;</w:t>
      </w:r>
      <w:r>
        <w:rPr>
          <w:spacing w:val="-2"/>
          <w:w w:val="105"/>
        </w:rPr>
        <w:t> </w:t>
      </w:r>
      <w:r>
        <w:rPr>
          <w:w w:val="105"/>
        </w:rPr>
        <w:t>Mant, D.</w:t>
      </w:r>
      <w:r>
        <w:rPr>
          <w:spacing w:val="-10"/>
          <w:w w:val="105"/>
        </w:rPr>
        <w:t> </w:t>
      </w:r>
      <w:r>
        <w:rPr>
          <w:w w:val="105"/>
        </w:rPr>
        <w:t>(2007). Depression and perceived behavioral control are independent</w:t>
      </w:r>
      <w:r>
        <w:rPr>
          <w:spacing w:val="40"/>
          <w:w w:val="105"/>
        </w:rPr>
        <w:t> </w:t>
      </w:r>
      <w:r>
        <w:rPr>
          <w:w w:val="105"/>
        </w:rPr>
        <w:t>predictors of future activity and fitness after coronary syndrome events. </w:t>
      </w:r>
      <w:r>
        <w:rPr>
          <w:i/>
          <w:w w:val="105"/>
        </w:rPr>
        <w:t>Journal of Psychosomatic</w:t>
      </w:r>
      <w:r>
        <w:rPr>
          <w:i/>
          <w:w w:val="105"/>
        </w:rPr>
        <w:t> Research, </w:t>
      </w:r>
      <w:r>
        <w:rPr>
          <w:w w:val="105"/>
        </w:rPr>
        <w:t>63(5), 501-508.</w:t>
      </w:r>
    </w:p>
    <w:p>
      <w:pPr>
        <w:pStyle w:val="BodyText"/>
        <w:spacing w:before="5"/>
      </w:pPr>
    </w:p>
    <w:p>
      <w:pPr>
        <w:spacing w:line="247" w:lineRule="auto" w:before="1"/>
        <w:ind w:left="905" w:right="149" w:hanging="427"/>
        <w:jc w:val="left"/>
        <w:rPr>
          <w:sz w:val="22"/>
        </w:rPr>
      </w:pPr>
      <w:r>
        <w:rPr>
          <w:w w:val="105"/>
          <w:sz w:val="22"/>
        </w:rPr>
        <w:t>American</w:t>
      </w:r>
      <w:r>
        <w:rPr>
          <w:w w:val="105"/>
          <w:sz w:val="22"/>
        </w:rPr>
        <w:t> Psychiatric Association.</w:t>
      </w:r>
      <w:r>
        <w:rPr>
          <w:spacing w:val="-3"/>
          <w:w w:val="105"/>
          <w:sz w:val="22"/>
        </w:rPr>
        <w:t> </w:t>
      </w:r>
      <w:r>
        <w:rPr>
          <w:w w:val="105"/>
          <w:sz w:val="22"/>
        </w:rPr>
        <w:t>(1994) </w:t>
      </w:r>
      <w:r>
        <w:rPr>
          <w:i/>
          <w:w w:val="105"/>
          <w:sz w:val="22"/>
        </w:rPr>
        <w:t>Diagnostic</w:t>
      </w:r>
      <w:r>
        <w:rPr>
          <w:i/>
          <w:spacing w:val="-1"/>
          <w:w w:val="105"/>
          <w:sz w:val="22"/>
        </w:rPr>
        <w:t> </w:t>
      </w:r>
      <w:r>
        <w:rPr>
          <w:i/>
          <w:w w:val="105"/>
          <w:sz w:val="22"/>
        </w:rPr>
        <w:t>and</w:t>
      </w:r>
      <w:r>
        <w:rPr>
          <w:i/>
          <w:spacing w:val="-5"/>
          <w:w w:val="105"/>
          <w:sz w:val="22"/>
        </w:rPr>
        <w:t> </w:t>
      </w:r>
      <w:r>
        <w:rPr>
          <w:i/>
          <w:w w:val="105"/>
          <w:sz w:val="22"/>
        </w:rPr>
        <w:t>Statistical Manual</w:t>
      </w:r>
      <w:r>
        <w:rPr>
          <w:i/>
          <w:spacing w:val="-2"/>
          <w:w w:val="105"/>
          <w:sz w:val="22"/>
        </w:rPr>
        <w:t> </w:t>
      </w:r>
      <w:r>
        <w:rPr>
          <w:i/>
          <w:w w:val="105"/>
          <w:sz w:val="22"/>
        </w:rPr>
        <w:t>of</w:t>
      </w:r>
      <w:r>
        <w:rPr>
          <w:i/>
          <w:spacing w:val="-3"/>
          <w:w w:val="105"/>
          <w:sz w:val="22"/>
        </w:rPr>
        <w:t> </w:t>
      </w:r>
      <w:r>
        <w:rPr>
          <w:i/>
          <w:w w:val="105"/>
          <w:sz w:val="22"/>
        </w:rPr>
        <w:t>Mental</w:t>
      </w:r>
      <w:r>
        <w:rPr>
          <w:i/>
          <w:w w:val="105"/>
          <w:sz w:val="22"/>
        </w:rPr>
        <w:t> Disorders </w:t>
      </w:r>
      <w:r>
        <w:rPr>
          <w:w w:val="105"/>
          <w:sz w:val="22"/>
        </w:rPr>
        <w:t>(4th ed.). Washington, DC: American</w:t>
      </w:r>
      <w:r>
        <w:rPr>
          <w:spacing w:val="40"/>
          <w:w w:val="105"/>
          <w:sz w:val="22"/>
        </w:rPr>
        <w:t> </w:t>
      </w:r>
      <w:r>
        <w:rPr>
          <w:w w:val="105"/>
          <w:sz w:val="22"/>
        </w:rPr>
        <w:t>Psychiatric Association.</w:t>
      </w:r>
    </w:p>
    <w:p>
      <w:pPr>
        <w:pStyle w:val="BodyText"/>
        <w:spacing w:before="9"/>
      </w:pPr>
    </w:p>
    <w:p>
      <w:pPr>
        <w:pStyle w:val="BodyText"/>
        <w:spacing w:line="249" w:lineRule="auto"/>
        <w:ind w:left="899" w:right="114" w:hanging="417"/>
      </w:pPr>
      <w:r>
        <w:rPr>
          <w:w w:val="105"/>
        </w:rPr>
        <w:t>Arnold, L. M.,</w:t>
      </w:r>
      <w:r>
        <w:rPr>
          <w:spacing w:val="-10"/>
          <w:w w:val="105"/>
        </w:rPr>
        <w:t> </w:t>
      </w:r>
      <w:r>
        <w:rPr>
          <w:w w:val="105"/>
        </w:rPr>
        <w:t>Crofford, L.</w:t>
      </w:r>
      <w:r>
        <w:rPr>
          <w:spacing w:val="-5"/>
          <w:w w:val="105"/>
        </w:rPr>
        <w:t> </w:t>
      </w:r>
      <w:r>
        <w:rPr>
          <w:w w:val="105"/>
        </w:rPr>
        <w:t>J.,</w:t>
      </w:r>
      <w:r>
        <w:rPr>
          <w:spacing w:val="-4"/>
          <w:w w:val="105"/>
        </w:rPr>
        <w:t> </w:t>
      </w:r>
      <w:r>
        <w:rPr>
          <w:w w:val="105"/>
        </w:rPr>
        <w:t>Mease, P.</w:t>
      </w:r>
      <w:r>
        <w:rPr>
          <w:spacing w:val="-10"/>
          <w:w w:val="105"/>
        </w:rPr>
        <w:t> </w:t>
      </w:r>
      <w:r>
        <w:rPr>
          <w:w w:val="105"/>
        </w:rPr>
        <w:t>J.,</w:t>
      </w:r>
      <w:r>
        <w:rPr>
          <w:spacing w:val="-1"/>
          <w:w w:val="105"/>
        </w:rPr>
        <w:t> </w:t>
      </w:r>
      <w:r>
        <w:rPr>
          <w:w w:val="105"/>
        </w:rPr>
        <w:t>Burgess, S. M., Palmer, S. C.,</w:t>
      </w:r>
      <w:r>
        <w:rPr>
          <w:spacing w:val="-6"/>
          <w:w w:val="105"/>
        </w:rPr>
        <w:t> </w:t>
      </w:r>
      <w:r>
        <w:rPr>
          <w:w w:val="105"/>
        </w:rPr>
        <w:t>Abetz, L.,</w:t>
      </w:r>
      <w:r>
        <w:rPr>
          <w:spacing w:val="-3"/>
          <w:w w:val="105"/>
        </w:rPr>
        <w:t> </w:t>
      </w:r>
      <w:r>
        <w:rPr>
          <w:w w:val="105"/>
        </w:rPr>
        <w:t>&amp; Martin, S. A.</w:t>
      </w:r>
      <w:r>
        <w:rPr>
          <w:spacing w:val="-5"/>
          <w:w w:val="105"/>
        </w:rPr>
        <w:t> </w:t>
      </w:r>
      <w:r>
        <w:rPr>
          <w:w w:val="105"/>
        </w:rPr>
        <w:t>(2008). Patient perspectives on the impact of fibromyalgia. </w:t>
      </w:r>
      <w:r>
        <w:rPr>
          <w:i/>
          <w:w w:val="105"/>
        </w:rPr>
        <w:t>Patient</w:t>
      </w:r>
      <w:r>
        <w:rPr>
          <w:i/>
          <w:w w:val="105"/>
        </w:rPr>
        <w:t> Education and Counseling, </w:t>
      </w:r>
      <w:r>
        <w:rPr>
          <w:w w:val="105"/>
        </w:rPr>
        <w:t>7</w:t>
      </w:r>
      <w:r>
        <w:rPr>
          <w:i/>
          <w:w w:val="105"/>
        </w:rPr>
        <w:t>3(</w:t>
      </w:r>
      <w:r>
        <w:rPr>
          <w:i/>
          <w:spacing w:val="-13"/>
          <w:w w:val="105"/>
        </w:rPr>
        <w:t> </w:t>
      </w:r>
      <w:r>
        <w:rPr>
          <w:w w:val="105"/>
        </w:rPr>
        <w:t>1), 114-120.</w:t>
      </w:r>
    </w:p>
    <w:p>
      <w:pPr>
        <w:pStyle w:val="BodyText"/>
        <w:spacing w:before="249"/>
        <w:ind w:left="483"/>
      </w:pPr>
      <w:r>
        <w:rPr>
          <w:w w:val="105"/>
        </w:rPr>
        <w:t>Arnold,</w:t>
      </w:r>
      <w:r>
        <w:rPr>
          <w:spacing w:val="12"/>
          <w:w w:val="105"/>
        </w:rPr>
        <w:t> </w:t>
      </w:r>
      <w:r>
        <w:rPr>
          <w:w w:val="105"/>
        </w:rPr>
        <w:t>L.</w:t>
      </w:r>
      <w:r>
        <w:rPr>
          <w:spacing w:val="-3"/>
          <w:w w:val="105"/>
        </w:rPr>
        <w:t> </w:t>
      </w:r>
      <w:r>
        <w:rPr>
          <w:w w:val="105"/>
        </w:rPr>
        <w:t>M.,</w:t>
      </w:r>
      <w:r>
        <w:rPr>
          <w:spacing w:val="8"/>
          <w:w w:val="105"/>
        </w:rPr>
        <w:t> </w:t>
      </w:r>
      <w:r>
        <w:rPr>
          <w:w w:val="105"/>
        </w:rPr>
        <w:t>Hudson,</w:t>
      </w:r>
      <w:r>
        <w:rPr>
          <w:spacing w:val="11"/>
          <w:w w:val="105"/>
        </w:rPr>
        <w:t> </w:t>
      </w:r>
      <w:r>
        <w:rPr>
          <w:w w:val="105"/>
        </w:rPr>
        <w:t>J.</w:t>
      </w:r>
      <w:r>
        <w:rPr>
          <w:spacing w:val="3"/>
          <w:w w:val="105"/>
        </w:rPr>
        <w:t> </w:t>
      </w:r>
      <w:r>
        <w:rPr>
          <w:w w:val="105"/>
        </w:rPr>
        <w:t>I.,</w:t>
      </w:r>
      <w:r>
        <w:rPr>
          <w:spacing w:val="2"/>
          <w:w w:val="105"/>
        </w:rPr>
        <w:t> </w:t>
      </w:r>
      <w:r>
        <w:rPr>
          <w:w w:val="105"/>
        </w:rPr>
        <w:t>Keck,</w:t>
      </w:r>
      <w:r>
        <w:rPr>
          <w:spacing w:val="7"/>
          <w:w w:val="105"/>
        </w:rPr>
        <w:t> </w:t>
      </w:r>
      <w:r>
        <w:rPr>
          <w:w w:val="105"/>
        </w:rPr>
        <w:t>P.</w:t>
      </w:r>
      <w:r>
        <w:rPr>
          <w:spacing w:val="-3"/>
          <w:w w:val="105"/>
        </w:rPr>
        <w:t> </w:t>
      </w:r>
      <w:r>
        <w:rPr>
          <w:w w:val="105"/>
        </w:rPr>
        <w:t>P.,</w:t>
      </w:r>
      <w:r>
        <w:rPr>
          <w:spacing w:val="4"/>
          <w:w w:val="105"/>
        </w:rPr>
        <w:t> </w:t>
      </w:r>
      <w:r>
        <w:rPr>
          <w:w w:val="105"/>
        </w:rPr>
        <w:t>Auchenbach,</w:t>
      </w:r>
      <w:r>
        <w:rPr>
          <w:spacing w:val="15"/>
          <w:w w:val="105"/>
        </w:rPr>
        <w:t> </w:t>
      </w:r>
      <w:r>
        <w:rPr>
          <w:w w:val="105"/>
        </w:rPr>
        <w:t>M.</w:t>
      </w:r>
      <w:r>
        <w:rPr>
          <w:spacing w:val="2"/>
          <w:w w:val="105"/>
        </w:rPr>
        <w:t> </w:t>
      </w:r>
      <w:r>
        <w:rPr>
          <w:w w:val="105"/>
        </w:rPr>
        <w:t>B.,</w:t>
      </w:r>
      <w:r>
        <w:rPr>
          <w:spacing w:val="-2"/>
          <w:w w:val="105"/>
        </w:rPr>
        <w:t> </w:t>
      </w:r>
      <w:r>
        <w:rPr>
          <w:w w:val="105"/>
        </w:rPr>
        <w:t>Javaras,</w:t>
      </w:r>
      <w:r>
        <w:rPr>
          <w:spacing w:val="11"/>
          <w:w w:val="105"/>
        </w:rPr>
        <w:t> </w:t>
      </w:r>
      <w:r>
        <w:rPr>
          <w:w w:val="105"/>
        </w:rPr>
        <w:t>K.</w:t>
      </w:r>
      <w:r>
        <w:rPr>
          <w:spacing w:val="-4"/>
          <w:w w:val="105"/>
        </w:rPr>
        <w:t> </w:t>
      </w:r>
      <w:r>
        <w:rPr>
          <w:w w:val="105"/>
        </w:rPr>
        <w:t>N.,</w:t>
      </w:r>
      <w:r>
        <w:rPr>
          <w:spacing w:val="-6"/>
          <w:w w:val="105"/>
        </w:rPr>
        <w:t> </w:t>
      </w:r>
      <w:r>
        <w:rPr>
          <w:w w:val="105"/>
        </w:rPr>
        <w:t>&amp;</w:t>
      </w:r>
      <w:r>
        <w:rPr>
          <w:spacing w:val="1"/>
          <w:w w:val="105"/>
        </w:rPr>
        <w:t> </w:t>
      </w:r>
      <w:r>
        <w:rPr>
          <w:spacing w:val="-2"/>
          <w:w w:val="105"/>
        </w:rPr>
        <w:t>Hess,</w:t>
      </w:r>
    </w:p>
    <w:p>
      <w:pPr>
        <w:spacing w:line="249" w:lineRule="auto" w:before="11"/>
        <w:ind w:left="898" w:right="149" w:firstLine="5"/>
        <w:jc w:val="left"/>
        <w:rPr>
          <w:sz w:val="22"/>
        </w:rPr>
      </w:pPr>
      <w:r>
        <w:rPr>
          <w:w w:val="105"/>
          <w:sz w:val="22"/>
        </w:rPr>
        <w:t>E.V.</w:t>
      </w:r>
      <w:r>
        <w:rPr>
          <w:spacing w:val="-12"/>
          <w:w w:val="105"/>
          <w:sz w:val="22"/>
        </w:rPr>
        <w:t> </w:t>
      </w:r>
      <w:r>
        <w:rPr>
          <w:w w:val="105"/>
          <w:sz w:val="22"/>
        </w:rPr>
        <w:t>(2006).</w:t>
      </w:r>
      <w:r>
        <w:rPr>
          <w:spacing w:val="-8"/>
          <w:w w:val="105"/>
          <w:sz w:val="22"/>
        </w:rPr>
        <w:t> </w:t>
      </w:r>
      <w:r>
        <w:rPr>
          <w:w w:val="105"/>
          <w:sz w:val="22"/>
        </w:rPr>
        <w:t>Comorbidity of</w:t>
      </w:r>
      <w:r>
        <w:rPr>
          <w:spacing w:val="-8"/>
          <w:w w:val="105"/>
          <w:sz w:val="22"/>
        </w:rPr>
        <w:t> </w:t>
      </w:r>
      <w:r>
        <w:rPr>
          <w:w w:val="105"/>
          <w:sz w:val="22"/>
        </w:rPr>
        <w:t>fibromyalgia and psychiatric disorders. </w:t>
      </w:r>
      <w:r>
        <w:rPr>
          <w:i/>
          <w:w w:val="105"/>
          <w:sz w:val="22"/>
        </w:rPr>
        <w:t>Journal of</w:t>
      </w:r>
      <w:r>
        <w:rPr>
          <w:i/>
          <w:w w:val="105"/>
          <w:sz w:val="22"/>
        </w:rPr>
        <w:t> Clinical Psychiatry, </w:t>
      </w:r>
      <w:r>
        <w:rPr>
          <w:w w:val="105"/>
          <w:sz w:val="22"/>
        </w:rPr>
        <w:t>67(8), 1219-1225.</w:t>
      </w:r>
    </w:p>
    <w:p>
      <w:pPr>
        <w:pStyle w:val="BodyText"/>
        <w:spacing w:before="9"/>
      </w:pPr>
    </w:p>
    <w:p>
      <w:pPr>
        <w:spacing w:line="247" w:lineRule="auto" w:before="0"/>
        <w:ind w:left="898" w:right="149" w:hanging="415"/>
        <w:jc w:val="left"/>
        <w:rPr>
          <w:sz w:val="22"/>
        </w:rPr>
      </w:pPr>
      <w:r>
        <w:rPr>
          <w:w w:val="105"/>
          <w:sz w:val="22"/>
        </w:rPr>
        <w:t>Amstein, P.</w:t>
      </w:r>
      <w:r>
        <w:rPr>
          <w:spacing w:val="-10"/>
          <w:w w:val="105"/>
          <w:sz w:val="22"/>
        </w:rPr>
        <w:t> </w:t>
      </w:r>
      <w:r>
        <w:rPr>
          <w:w w:val="105"/>
          <w:sz w:val="22"/>
        </w:rPr>
        <w:t>(2003).</w:t>
      </w:r>
      <w:r>
        <w:rPr>
          <w:spacing w:val="-12"/>
          <w:w w:val="105"/>
          <w:sz w:val="22"/>
        </w:rPr>
        <w:t> </w:t>
      </w:r>
      <w:r>
        <w:rPr>
          <w:w w:val="105"/>
          <w:sz w:val="22"/>
        </w:rPr>
        <w:t>Comprehensive analysis</w:t>
      </w:r>
      <w:r>
        <w:rPr>
          <w:spacing w:val="-3"/>
          <w:w w:val="105"/>
          <w:sz w:val="22"/>
        </w:rPr>
        <w:t> </w:t>
      </w:r>
      <w:r>
        <w:rPr>
          <w:w w:val="105"/>
          <w:sz w:val="22"/>
        </w:rPr>
        <w:t>and management</w:t>
      </w:r>
      <w:r>
        <w:rPr>
          <w:spacing w:val="19"/>
          <w:w w:val="105"/>
          <w:sz w:val="22"/>
        </w:rPr>
        <w:t> </w:t>
      </w:r>
      <w:r>
        <w:rPr>
          <w:w w:val="105"/>
          <w:sz w:val="22"/>
        </w:rPr>
        <w:t>of</w:t>
      </w:r>
      <w:r>
        <w:rPr>
          <w:spacing w:val="-12"/>
          <w:w w:val="105"/>
          <w:sz w:val="22"/>
        </w:rPr>
        <w:t> </w:t>
      </w:r>
      <w:r>
        <w:rPr>
          <w:w w:val="105"/>
          <w:sz w:val="22"/>
        </w:rPr>
        <w:t>chronic</w:t>
      </w:r>
      <w:r>
        <w:rPr>
          <w:spacing w:val="20"/>
          <w:w w:val="105"/>
          <w:sz w:val="22"/>
        </w:rPr>
        <w:t> </w:t>
      </w:r>
      <w:r>
        <w:rPr>
          <w:w w:val="105"/>
          <w:sz w:val="22"/>
        </w:rPr>
        <w:t>pain. </w:t>
      </w:r>
      <w:r>
        <w:rPr>
          <w:i/>
          <w:w w:val="105"/>
          <w:sz w:val="22"/>
        </w:rPr>
        <w:t>Nursing</w:t>
      </w:r>
      <w:r>
        <w:rPr>
          <w:i/>
          <w:w w:val="105"/>
          <w:sz w:val="22"/>
        </w:rPr>
        <w:t> Clinics of North America, 38(3), </w:t>
      </w:r>
      <w:r>
        <w:rPr>
          <w:w w:val="105"/>
          <w:sz w:val="22"/>
        </w:rPr>
        <w:t>403-417.</w:t>
      </w:r>
    </w:p>
    <w:p>
      <w:pPr>
        <w:pStyle w:val="BodyText"/>
        <w:spacing w:before="4"/>
      </w:pPr>
    </w:p>
    <w:p>
      <w:pPr>
        <w:pStyle w:val="BodyText"/>
        <w:spacing w:line="249" w:lineRule="auto"/>
        <w:ind w:left="905" w:right="114" w:hanging="418"/>
      </w:pPr>
      <w:r>
        <w:rPr>
          <w:w w:val="105"/>
        </w:rPr>
        <w:t>Ashe, M.</w:t>
      </w:r>
      <w:r>
        <w:rPr>
          <w:spacing w:val="-7"/>
          <w:w w:val="105"/>
        </w:rPr>
        <w:t> </w:t>
      </w:r>
      <w:r>
        <w:rPr>
          <w:w w:val="105"/>
        </w:rPr>
        <w:t>C., Miller, W.</w:t>
      </w:r>
      <w:r>
        <w:rPr>
          <w:spacing w:val="-10"/>
          <w:w w:val="105"/>
        </w:rPr>
        <w:t> </w:t>
      </w:r>
      <w:r>
        <w:rPr>
          <w:w w:val="105"/>
        </w:rPr>
        <w:t>C., Eng, J. J.,</w:t>
      </w:r>
      <w:r>
        <w:rPr>
          <w:spacing w:val="-13"/>
          <w:w w:val="105"/>
        </w:rPr>
        <w:t> </w:t>
      </w:r>
      <w:r>
        <w:rPr>
          <w:w w:val="105"/>
        </w:rPr>
        <w:t>&amp; Noreau,</w:t>
      </w:r>
      <w:r>
        <w:rPr>
          <w:spacing w:val="19"/>
          <w:w w:val="105"/>
        </w:rPr>
        <w:t> </w:t>
      </w:r>
      <w:r>
        <w:rPr>
          <w:w w:val="105"/>
        </w:rPr>
        <w:t>L.</w:t>
      </w:r>
      <w:r>
        <w:rPr>
          <w:spacing w:val="-13"/>
          <w:w w:val="105"/>
        </w:rPr>
        <w:t> </w:t>
      </w:r>
      <w:r>
        <w:rPr>
          <w:w w:val="105"/>
        </w:rPr>
        <w:t>(2009).</w:t>
      </w:r>
      <w:r>
        <w:rPr>
          <w:spacing w:val="-3"/>
          <w:w w:val="105"/>
        </w:rPr>
        <w:t> </w:t>
      </w:r>
      <w:r>
        <w:rPr>
          <w:w w:val="105"/>
        </w:rPr>
        <w:t>Older adults, chronic disease and</w:t>
      </w:r>
      <w:r>
        <w:rPr>
          <w:spacing w:val="38"/>
          <w:w w:val="105"/>
        </w:rPr>
        <w:t> </w:t>
      </w:r>
      <w:r>
        <w:rPr>
          <w:w w:val="105"/>
        </w:rPr>
        <w:t>leisure-time physical activity. </w:t>
      </w:r>
      <w:r>
        <w:rPr>
          <w:i/>
          <w:w w:val="105"/>
        </w:rPr>
        <w:t>Gerontology, 55(</w:t>
      </w:r>
      <w:r>
        <w:rPr>
          <w:i/>
          <w:spacing w:val="-8"/>
          <w:w w:val="105"/>
        </w:rPr>
        <w:t> </w:t>
      </w:r>
      <w:r>
        <w:rPr>
          <w:w w:val="105"/>
        </w:rPr>
        <w:t>1), 64-72.</w:t>
      </w:r>
    </w:p>
    <w:p>
      <w:pPr>
        <w:pStyle w:val="BodyText"/>
        <w:spacing w:line="258" w:lineRule="exact"/>
        <w:ind w:left="905"/>
      </w:pPr>
      <w:r>
        <w:rPr>
          <w:spacing w:val="-4"/>
        </w:rPr>
        <w:t>doi:</w:t>
      </w:r>
      <w:r>
        <w:rPr>
          <w:spacing w:val="-26"/>
        </w:rPr>
        <w:t> </w:t>
      </w:r>
      <w:r>
        <w:rPr>
          <w:spacing w:val="-4"/>
          <w:sz w:val="23"/>
        </w:rPr>
        <w:t>I</w:t>
      </w:r>
      <w:r>
        <w:rPr>
          <w:spacing w:val="-14"/>
          <w:sz w:val="23"/>
        </w:rPr>
        <w:t> </w:t>
      </w:r>
      <w:r>
        <w:rPr>
          <w:spacing w:val="-4"/>
        </w:rPr>
        <w:t>0.1159/000141518</w:t>
      </w:r>
    </w:p>
    <w:p>
      <w:pPr>
        <w:pStyle w:val="BodyText"/>
        <w:spacing w:before="6"/>
      </w:pPr>
    </w:p>
    <w:p>
      <w:pPr>
        <w:spacing w:line="249" w:lineRule="auto" w:before="0"/>
        <w:ind w:left="905" w:right="601" w:hanging="410"/>
        <w:jc w:val="both"/>
        <w:rPr>
          <w:sz w:val="22"/>
        </w:rPr>
      </w:pPr>
      <w:r>
        <w:rPr>
          <w:w w:val="105"/>
          <w:sz w:val="22"/>
        </w:rPr>
        <w:t>Bair,</w:t>
      </w:r>
      <w:r>
        <w:rPr>
          <w:spacing w:val="-1"/>
          <w:w w:val="105"/>
          <w:sz w:val="22"/>
        </w:rPr>
        <w:t> </w:t>
      </w:r>
      <w:r>
        <w:rPr>
          <w:w w:val="105"/>
          <w:sz w:val="22"/>
        </w:rPr>
        <w:t>M.</w:t>
      </w:r>
      <w:r>
        <w:rPr>
          <w:spacing w:val="-11"/>
          <w:w w:val="105"/>
          <w:sz w:val="22"/>
        </w:rPr>
        <w:t> </w:t>
      </w:r>
      <w:r>
        <w:rPr>
          <w:w w:val="105"/>
          <w:sz w:val="22"/>
        </w:rPr>
        <w:t>J.,</w:t>
      </w:r>
      <w:r>
        <w:rPr>
          <w:spacing w:val="-6"/>
          <w:w w:val="105"/>
          <w:sz w:val="22"/>
        </w:rPr>
        <w:t> </w:t>
      </w:r>
      <w:r>
        <w:rPr>
          <w:w w:val="105"/>
          <w:sz w:val="22"/>
        </w:rPr>
        <w:t>Robinson, </w:t>
      </w:r>
      <w:r>
        <w:rPr>
          <w:b/>
          <w:w w:val="105"/>
          <w:sz w:val="22"/>
        </w:rPr>
        <w:t>R. </w:t>
      </w:r>
      <w:r>
        <w:rPr>
          <w:w w:val="105"/>
          <w:sz w:val="22"/>
        </w:rPr>
        <w:t>L.,</w:t>
      </w:r>
      <w:r>
        <w:rPr>
          <w:spacing w:val="-5"/>
          <w:w w:val="105"/>
          <w:sz w:val="22"/>
        </w:rPr>
        <w:t> </w:t>
      </w:r>
      <w:r>
        <w:rPr>
          <w:w w:val="105"/>
          <w:sz w:val="22"/>
        </w:rPr>
        <w:t>Katon, W.,</w:t>
      </w:r>
      <w:r>
        <w:rPr>
          <w:spacing w:val="-11"/>
          <w:w w:val="105"/>
          <w:sz w:val="22"/>
        </w:rPr>
        <w:t> </w:t>
      </w:r>
      <w:r>
        <w:rPr>
          <w:w w:val="105"/>
          <w:sz w:val="22"/>
        </w:rPr>
        <w:t>&amp;</w:t>
      </w:r>
      <w:r>
        <w:rPr>
          <w:spacing w:val="-3"/>
          <w:w w:val="105"/>
          <w:sz w:val="22"/>
        </w:rPr>
        <w:t> </w:t>
      </w:r>
      <w:r>
        <w:rPr>
          <w:w w:val="105"/>
          <w:sz w:val="22"/>
        </w:rPr>
        <w:t>Kroenke, K.</w:t>
      </w:r>
      <w:r>
        <w:rPr>
          <w:spacing w:val="-15"/>
          <w:w w:val="105"/>
          <w:sz w:val="22"/>
        </w:rPr>
        <w:t> </w:t>
      </w:r>
      <w:r>
        <w:rPr>
          <w:w w:val="105"/>
          <w:sz w:val="22"/>
        </w:rPr>
        <w:t>(2003). Depression and pain comorbidity -</w:t>
      </w:r>
      <w:r>
        <w:rPr>
          <w:spacing w:val="-2"/>
          <w:w w:val="105"/>
          <w:sz w:val="22"/>
        </w:rPr>
        <w:t> </w:t>
      </w:r>
      <w:r>
        <w:rPr>
          <w:w w:val="105"/>
          <w:sz w:val="22"/>
        </w:rPr>
        <w:t>a literature review. </w:t>
      </w:r>
      <w:r>
        <w:rPr>
          <w:i/>
          <w:w w:val="105"/>
          <w:sz w:val="22"/>
        </w:rPr>
        <w:t>Archives</w:t>
      </w:r>
      <w:r>
        <w:rPr>
          <w:i/>
          <w:spacing w:val="-4"/>
          <w:w w:val="105"/>
          <w:sz w:val="22"/>
        </w:rPr>
        <w:t> </w:t>
      </w:r>
      <w:r>
        <w:rPr>
          <w:i/>
          <w:w w:val="105"/>
          <w:sz w:val="22"/>
        </w:rPr>
        <w:t>of</w:t>
      </w:r>
      <w:r>
        <w:rPr>
          <w:i/>
          <w:spacing w:val="-5"/>
          <w:w w:val="105"/>
          <w:sz w:val="22"/>
        </w:rPr>
        <w:t> </w:t>
      </w:r>
      <w:r>
        <w:rPr>
          <w:i/>
          <w:w w:val="105"/>
          <w:sz w:val="22"/>
        </w:rPr>
        <w:t>Internal Medicine,</w:t>
      </w:r>
      <w:r>
        <w:rPr>
          <w:i/>
          <w:spacing w:val="-3"/>
          <w:w w:val="105"/>
          <w:sz w:val="22"/>
        </w:rPr>
        <w:t> </w:t>
      </w:r>
      <w:r>
        <w:rPr>
          <w:i/>
          <w:w w:val="105"/>
          <w:sz w:val="22"/>
        </w:rPr>
        <w:t>163(20),</w:t>
      </w:r>
      <w:r>
        <w:rPr>
          <w:i/>
          <w:spacing w:val="-7"/>
          <w:w w:val="105"/>
          <w:sz w:val="22"/>
        </w:rPr>
        <w:t> </w:t>
      </w:r>
      <w:r>
        <w:rPr>
          <w:w w:val="105"/>
          <w:sz w:val="22"/>
        </w:rPr>
        <w:t>2433- </w:t>
      </w:r>
      <w:r>
        <w:rPr>
          <w:spacing w:val="-4"/>
          <w:w w:val="105"/>
          <w:sz w:val="22"/>
        </w:rPr>
        <w:t>2445.</w:t>
      </w:r>
    </w:p>
    <w:p>
      <w:pPr>
        <w:pStyle w:val="BodyText"/>
        <w:spacing w:before="1"/>
      </w:pPr>
    </w:p>
    <w:p>
      <w:pPr>
        <w:spacing w:line="252" w:lineRule="auto" w:before="0"/>
        <w:ind w:left="905" w:right="149" w:hanging="415"/>
        <w:jc w:val="left"/>
        <w:rPr>
          <w:sz w:val="22"/>
        </w:rPr>
      </w:pPr>
      <w:r>
        <w:rPr>
          <w:w w:val="105"/>
          <w:sz w:val="22"/>
        </w:rPr>
        <w:t>Baldwin,</w:t>
      </w:r>
      <w:r>
        <w:rPr>
          <w:spacing w:val="31"/>
          <w:w w:val="105"/>
          <w:sz w:val="22"/>
        </w:rPr>
        <w:t> </w:t>
      </w:r>
      <w:r>
        <w:rPr>
          <w:b/>
          <w:w w:val="105"/>
          <w:sz w:val="22"/>
        </w:rPr>
        <w:t>K. S.,</w:t>
      </w:r>
      <w:r>
        <w:rPr>
          <w:b/>
          <w:spacing w:val="17"/>
          <w:w w:val="105"/>
          <w:sz w:val="22"/>
        </w:rPr>
        <w:t> </w:t>
      </w:r>
      <w:r>
        <w:rPr>
          <w:w w:val="105"/>
          <w:sz w:val="22"/>
        </w:rPr>
        <w:t>&amp; Tinsley,</w:t>
      </w:r>
      <w:r>
        <w:rPr>
          <w:spacing w:val="36"/>
          <w:w w:val="105"/>
          <w:sz w:val="22"/>
        </w:rPr>
        <w:t> </w:t>
      </w:r>
      <w:r>
        <w:rPr>
          <w:w w:val="105"/>
          <w:sz w:val="22"/>
        </w:rPr>
        <w:t>H. E. A.</w:t>
      </w:r>
      <w:r>
        <w:rPr>
          <w:spacing w:val="-1"/>
          <w:w w:val="105"/>
          <w:sz w:val="22"/>
        </w:rPr>
        <w:t> </w:t>
      </w:r>
      <w:r>
        <w:rPr>
          <w:w w:val="105"/>
          <w:sz w:val="22"/>
        </w:rPr>
        <w:t>(1988).</w:t>
      </w:r>
      <w:r>
        <w:rPr>
          <w:spacing w:val="26"/>
          <w:w w:val="105"/>
          <w:sz w:val="22"/>
        </w:rPr>
        <w:t> </w:t>
      </w:r>
      <w:r>
        <w:rPr>
          <w:w w:val="105"/>
          <w:sz w:val="22"/>
        </w:rPr>
        <w:t>An</w:t>
      </w:r>
      <w:r>
        <w:rPr>
          <w:spacing w:val="23"/>
          <w:w w:val="105"/>
          <w:sz w:val="22"/>
        </w:rPr>
        <w:t> </w:t>
      </w:r>
      <w:r>
        <w:rPr>
          <w:w w:val="105"/>
          <w:sz w:val="22"/>
        </w:rPr>
        <w:t>investigation</w:t>
      </w:r>
      <w:r>
        <w:rPr>
          <w:spacing w:val="40"/>
          <w:w w:val="105"/>
          <w:sz w:val="22"/>
        </w:rPr>
        <w:t> </w:t>
      </w:r>
      <w:r>
        <w:rPr>
          <w:w w:val="105"/>
          <w:sz w:val="22"/>
        </w:rPr>
        <w:t>of the validity</w:t>
      </w:r>
      <w:r>
        <w:rPr>
          <w:spacing w:val="22"/>
          <w:w w:val="105"/>
          <w:sz w:val="22"/>
        </w:rPr>
        <w:t> </w:t>
      </w:r>
      <w:r>
        <w:rPr>
          <w:w w:val="105"/>
          <w:sz w:val="22"/>
        </w:rPr>
        <w:t>ofTinsley and Tinsley's</w:t>
      </w:r>
      <w:r>
        <w:rPr>
          <w:spacing w:val="-1"/>
          <w:w w:val="105"/>
          <w:sz w:val="22"/>
        </w:rPr>
        <w:t> </w:t>
      </w:r>
      <w:r>
        <w:rPr>
          <w:w w:val="105"/>
          <w:sz w:val="22"/>
        </w:rPr>
        <w:t>(1986) theory</w:t>
      </w:r>
      <w:r>
        <w:rPr>
          <w:spacing w:val="-3"/>
          <w:w w:val="105"/>
          <w:sz w:val="22"/>
        </w:rPr>
        <w:t> </w:t>
      </w:r>
      <w:r>
        <w:rPr>
          <w:w w:val="105"/>
          <w:sz w:val="22"/>
        </w:rPr>
        <w:t>of leisure</w:t>
      </w:r>
      <w:r>
        <w:rPr>
          <w:spacing w:val="-3"/>
          <w:w w:val="105"/>
          <w:sz w:val="22"/>
        </w:rPr>
        <w:t> </w:t>
      </w:r>
      <w:r>
        <w:rPr>
          <w:w w:val="105"/>
          <w:sz w:val="22"/>
        </w:rPr>
        <w:t>experience. </w:t>
      </w:r>
      <w:r>
        <w:rPr>
          <w:i/>
          <w:w w:val="105"/>
          <w:sz w:val="22"/>
        </w:rPr>
        <w:t>Journal of</w:t>
      </w:r>
      <w:r>
        <w:rPr>
          <w:i/>
          <w:spacing w:val="-9"/>
          <w:w w:val="105"/>
          <w:sz w:val="22"/>
        </w:rPr>
        <w:t> </w:t>
      </w:r>
      <w:r>
        <w:rPr>
          <w:i/>
          <w:w w:val="105"/>
          <w:sz w:val="22"/>
        </w:rPr>
        <w:t>Counseling Psychology,</w:t>
      </w:r>
      <w:r>
        <w:rPr>
          <w:i/>
          <w:w w:val="105"/>
          <w:sz w:val="22"/>
        </w:rPr>
        <w:t> 35(3),</w:t>
      </w:r>
      <w:r>
        <w:rPr>
          <w:i/>
          <w:spacing w:val="-2"/>
          <w:w w:val="105"/>
          <w:sz w:val="22"/>
        </w:rPr>
        <w:t> </w:t>
      </w:r>
      <w:r>
        <w:rPr>
          <w:w w:val="105"/>
          <w:sz w:val="22"/>
        </w:rPr>
        <w:t>263-267.</w:t>
      </w:r>
    </w:p>
    <w:p>
      <w:pPr>
        <w:spacing w:before="251"/>
        <w:ind w:left="495" w:right="0" w:firstLine="0"/>
        <w:jc w:val="left"/>
        <w:rPr>
          <w:i/>
          <w:sz w:val="22"/>
        </w:rPr>
      </w:pPr>
      <w:r>
        <w:rPr>
          <w:w w:val="105"/>
          <w:sz w:val="22"/>
        </w:rPr>
        <w:t>Beck,</w:t>
      </w:r>
      <w:r>
        <w:rPr>
          <w:spacing w:val="3"/>
          <w:w w:val="105"/>
          <w:sz w:val="22"/>
        </w:rPr>
        <w:t> </w:t>
      </w:r>
      <w:r>
        <w:rPr>
          <w:w w:val="105"/>
          <w:sz w:val="22"/>
        </w:rPr>
        <w:t>A.</w:t>
      </w:r>
      <w:r>
        <w:rPr>
          <w:spacing w:val="-14"/>
          <w:w w:val="105"/>
          <w:sz w:val="22"/>
        </w:rPr>
        <w:t> </w:t>
      </w:r>
      <w:r>
        <w:rPr>
          <w:w w:val="105"/>
          <w:sz w:val="22"/>
        </w:rPr>
        <w:t>T.,</w:t>
      </w:r>
      <w:r>
        <w:rPr>
          <w:spacing w:val="-2"/>
          <w:w w:val="105"/>
          <w:sz w:val="22"/>
        </w:rPr>
        <w:t> </w:t>
      </w:r>
      <w:r>
        <w:rPr>
          <w:w w:val="105"/>
          <w:sz w:val="22"/>
        </w:rPr>
        <w:t>Steer,</w:t>
      </w:r>
      <w:r>
        <w:rPr>
          <w:spacing w:val="4"/>
          <w:w w:val="105"/>
          <w:sz w:val="22"/>
        </w:rPr>
        <w:t> </w:t>
      </w:r>
      <w:r>
        <w:rPr>
          <w:w w:val="105"/>
          <w:sz w:val="22"/>
        </w:rPr>
        <w:t>R.</w:t>
      </w:r>
      <w:r>
        <w:rPr>
          <w:spacing w:val="-5"/>
          <w:w w:val="105"/>
          <w:sz w:val="22"/>
        </w:rPr>
        <w:t> </w:t>
      </w:r>
      <w:r>
        <w:rPr>
          <w:w w:val="105"/>
          <w:sz w:val="22"/>
        </w:rPr>
        <w:t>A.,</w:t>
      </w:r>
      <w:r>
        <w:rPr>
          <w:spacing w:val="-4"/>
          <w:w w:val="105"/>
          <w:sz w:val="22"/>
        </w:rPr>
        <w:t> </w:t>
      </w:r>
      <w:r>
        <w:rPr>
          <w:w w:val="105"/>
          <w:sz w:val="22"/>
        </w:rPr>
        <w:t>&amp;</w:t>
      </w:r>
      <w:r>
        <w:rPr>
          <w:spacing w:val="1"/>
          <w:w w:val="105"/>
          <w:sz w:val="22"/>
        </w:rPr>
        <w:t> </w:t>
      </w:r>
      <w:r>
        <w:rPr>
          <w:w w:val="105"/>
          <w:sz w:val="22"/>
        </w:rPr>
        <w:t>Brown,</w:t>
      </w:r>
      <w:r>
        <w:rPr>
          <w:spacing w:val="-4"/>
          <w:w w:val="105"/>
          <w:sz w:val="22"/>
        </w:rPr>
        <w:t> </w:t>
      </w:r>
      <w:r>
        <w:rPr>
          <w:w w:val="105"/>
          <w:sz w:val="22"/>
        </w:rPr>
        <w:t>G.</w:t>
      </w:r>
      <w:r>
        <w:rPr>
          <w:spacing w:val="8"/>
          <w:w w:val="105"/>
          <w:sz w:val="22"/>
        </w:rPr>
        <w:t> </w:t>
      </w:r>
      <w:r>
        <w:rPr>
          <w:w w:val="105"/>
          <w:sz w:val="22"/>
        </w:rPr>
        <w:t>K.</w:t>
      </w:r>
      <w:r>
        <w:rPr>
          <w:spacing w:val="-10"/>
          <w:w w:val="105"/>
          <w:sz w:val="22"/>
        </w:rPr>
        <w:t> </w:t>
      </w:r>
      <w:r>
        <w:rPr>
          <w:w w:val="105"/>
          <w:sz w:val="22"/>
        </w:rPr>
        <w:t>(1996).</w:t>
      </w:r>
      <w:r>
        <w:rPr>
          <w:spacing w:val="5"/>
          <w:w w:val="105"/>
          <w:sz w:val="22"/>
        </w:rPr>
        <w:t> </w:t>
      </w:r>
      <w:r>
        <w:rPr>
          <w:i/>
          <w:w w:val="105"/>
          <w:sz w:val="22"/>
        </w:rPr>
        <w:t>Beck</w:t>
      </w:r>
      <w:r>
        <w:rPr>
          <w:i/>
          <w:spacing w:val="5"/>
          <w:w w:val="105"/>
          <w:sz w:val="22"/>
        </w:rPr>
        <w:t> </w:t>
      </w:r>
      <w:r>
        <w:rPr>
          <w:i/>
          <w:w w:val="105"/>
          <w:sz w:val="22"/>
        </w:rPr>
        <w:t>Depression</w:t>
      </w:r>
      <w:r>
        <w:rPr>
          <w:i/>
          <w:spacing w:val="-10"/>
          <w:w w:val="105"/>
          <w:sz w:val="22"/>
        </w:rPr>
        <w:t> </w:t>
      </w:r>
      <w:r>
        <w:rPr>
          <w:i/>
          <w:w w:val="105"/>
          <w:sz w:val="22"/>
        </w:rPr>
        <w:t>lnventory-</w:t>
      </w:r>
      <w:r>
        <w:rPr>
          <w:i/>
          <w:spacing w:val="-5"/>
          <w:w w:val="105"/>
          <w:sz w:val="22"/>
        </w:rPr>
        <w:t>11.</w:t>
      </w:r>
    </w:p>
    <w:p>
      <w:pPr>
        <w:spacing w:before="6"/>
        <w:ind w:left="917" w:right="0" w:firstLine="0"/>
        <w:jc w:val="left"/>
        <w:rPr>
          <w:sz w:val="22"/>
        </w:rPr>
      </w:pPr>
      <w:r>
        <w:rPr>
          <w:i/>
          <w:w w:val="105"/>
          <w:sz w:val="22"/>
        </w:rPr>
        <w:t>Behavioral</w:t>
      </w:r>
      <w:r>
        <w:rPr>
          <w:i/>
          <w:spacing w:val="2"/>
          <w:w w:val="105"/>
          <w:sz w:val="22"/>
        </w:rPr>
        <w:t> </w:t>
      </w:r>
      <w:r>
        <w:rPr>
          <w:i/>
          <w:w w:val="105"/>
          <w:sz w:val="22"/>
        </w:rPr>
        <w:t>Measurement</w:t>
      </w:r>
      <w:r>
        <w:rPr>
          <w:i/>
          <w:spacing w:val="12"/>
          <w:w w:val="105"/>
          <w:sz w:val="22"/>
        </w:rPr>
        <w:t> </w:t>
      </w:r>
      <w:r>
        <w:rPr>
          <w:i/>
          <w:w w:val="105"/>
          <w:sz w:val="22"/>
        </w:rPr>
        <w:t>Letter,</w:t>
      </w:r>
      <w:r>
        <w:rPr>
          <w:i/>
          <w:spacing w:val="-14"/>
          <w:w w:val="105"/>
          <w:sz w:val="22"/>
        </w:rPr>
        <w:t> </w:t>
      </w:r>
      <w:r>
        <w:rPr>
          <w:w w:val="105"/>
          <w:sz w:val="22"/>
        </w:rPr>
        <w:t>3(2),</w:t>
      </w:r>
      <w:r>
        <w:rPr>
          <w:spacing w:val="-7"/>
          <w:w w:val="105"/>
          <w:sz w:val="22"/>
        </w:rPr>
        <w:t> </w:t>
      </w:r>
      <w:r>
        <w:rPr>
          <w:w w:val="105"/>
          <w:sz w:val="22"/>
        </w:rPr>
        <w:t>3-</w:t>
      </w:r>
      <w:r>
        <w:rPr>
          <w:spacing w:val="-5"/>
          <w:w w:val="105"/>
          <w:sz w:val="22"/>
        </w:rPr>
        <w:t>5.</w:t>
      </w:r>
    </w:p>
    <w:p>
      <w:pPr>
        <w:pStyle w:val="BodyText"/>
        <w:spacing w:before="18"/>
      </w:pPr>
    </w:p>
    <w:p>
      <w:pPr>
        <w:pStyle w:val="BodyText"/>
        <w:spacing w:line="249" w:lineRule="auto"/>
        <w:ind w:left="906" w:right="240" w:hanging="407"/>
      </w:pPr>
      <w:r>
        <w:rPr>
          <w:w w:val="105"/>
        </w:rPr>
        <w:t>Bennett, R.</w:t>
      </w:r>
      <w:r>
        <w:rPr>
          <w:spacing w:val="-4"/>
          <w:w w:val="105"/>
        </w:rPr>
        <w:t> </w:t>
      </w:r>
      <w:r>
        <w:rPr>
          <w:w w:val="105"/>
        </w:rPr>
        <w:t>M.,</w:t>
      </w:r>
      <w:r>
        <w:rPr>
          <w:spacing w:val="-8"/>
          <w:w w:val="105"/>
        </w:rPr>
        <w:t> </w:t>
      </w:r>
      <w:r>
        <w:rPr>
          <w:w w:val="105"/>
        </w:rPr>
        <w:t>Jones, J.</w:t>
      </w:r>
      <w:r>
        <w:rPr>
          <w:spacing w:val="-7"/>
          <w:w w:val="105"/>
        </w:rPr>
        <w:t> </w:t>
      </w:r>
      <w:r>
        <w:rPr>
          <w:w w:val="105"/>
        </w:rPr>
        <w:t>,</w:t>
      </w:r>
      <w:r>
        <w:rPr>
          <w:spacing w:val="-7"/>
          <w:w w:val="105"/>
        </w:rPr>
        <w:t> </w:t>
      </w:r>
      <w:r>
        <w:rPr>
          <w:w w:val="105"/>
        </w:rPr>
        <w:t>Turk, D.</w:t>
      </w:r>
      <w:r>
        <w:rPr>
          <w:spacing w:val="-13"/>
          <w:w w:val="105"/>
        </w:rPr>
        <w:t> </w:t>
      </w:r>
      <w:r>
        <w:rPr>
          <w:w w:val="105"/>
        </w:rPr>
        <w:t>C., Russell, I.</w:t>
      </w:r>
      <w:r>
        <w:rPr>
          <w:spacing w:val="-5"/>
          <w:w w:val="105"/>
        </w:rPr>
        <w:t> </w:t>
      </w:r>
      <w:r>
        <w:rPr>
          <w:w w:val="105"/>
        </w:rPr>
        <w:t>J.,</w:t>
      </w:r>
      <w:r>
        <w:rPr>
          <w:spacing w:val="-7"/>
          <w:w w:val="105"/>
        </w:rPr>
        <w:t> </w:t>
      </w:r>
      <w:r>
        <w:rPr>
          <w:w w:val="105"/>
        </w:rPr>
        <w:t>&amp; Matallana, L.</w:t>
      </w:r>
      <w:r>
        <w:rPr>
          <w:spacing w:val="-10"/>
          <w:w w:val="105"/>
        </w:rPr>
        <w:t> </w:t>
      </w:r>
      <w:r>
        <w:rPr>
          <w:w w:val="105"/>
        </w:rPr>
        <w:t>(2007). An internet survey of2,596 people with fibromyalgia.</w:t>
      </w:r>
      <w:r>
        <w:rPr>
          <w:w w:val="105"/>
        </w:rPr>
        <w:t> </w:t>
      </w:r>
      <w:r>
        <w:rPr>
          <w:i/>
          <w:w w:val="105"/>
        </w:rPr>
        <w:t>Bmc Musculoskeletal Disorders, 8:27.</w:t>
      </w:r>
      <w:r>
        <w:rPr>
          <w:i/>
          <w:w w:val="105"/>
        </w:rPr>
        <w:t> </w:t>
      </w:r>
      <w:r>
        <w:rPr>
          <w:spacing w:val="-2"/>
          <w:w w:val="105"/>
        </w:rPr>
        <w:t>doi:10.1186/1471-2474-8-27</w:t>
      </w:r>
    </w:p>
    <w:p>
      <w:pPr>
        <w:spacing w:after="0" w:line="249" w:lineRule="auto"/>
        <w:sectPr>
          <w:pgSz w:w="12480" w:h="15760"/>
          <w:pgMar w:header="1044" w:footer="0" w:top="1600" w:bottom="280" w:left="1760" w:right="1760"/>
        </w:sectPr>
      </w:pPr>
    </w:p>
    <w:p>
      <w:pPr>
        <w:spacing w:line="249" w:lineRule="auto" w:before="81"/>
        <w:ind w:left="880" w:right="149" w:hanging="423"/>
        <w:jc w:val="left"/>
        <w:rPr>
          <w:sz w:val="22"/>
        </w:rPr>
      </w:pPr>
      <w:r>
        <w:rPr>
          <w:w w:val="105"/>
          <w:sz w:val="22"/>
        </w:rPr>
        <w:t>Bernard, A. L., Prince, A.,</w:t>
      </w:r>
      <w:r>
        <w:rPr>
          <w:spacing w:val="-8"/>
          <w:w w:val="105"/>
          <w:sz w:val="22"/>
        </w:rPr>
        <w:t> </w:t>
      </w:r>
      <w:r>
        <w:rPr>
          <w:w w:val="105"/>
          <w:sz w:val="22"/>
        </w:rPr>
        <w:t>&amp;</w:t>
      </w:r>
      <w:r>
        <w:rPr>
          <w:spacing w:val="-2"/>
          <w:w w:val="105"/>
          <w:sz w:val="22"/>
        </w:rPr>
        <w:t> </w:t>
      </w:r>
      <w:r>
        <w:rPr>
          <w:w w:val="105"/>
          <w:sz w:val="22"/>
        </w:rPr>
        <w:t>Edsall, P.</w:t>
      </w:r>
      <w:r>
        <w:rPr>
          <w:spacing w:val="-11"/>
          <w:w w:val="105"/>
          <w:sz w:val="22"/>
        </w:rPr>
        <w:t> </w:t>
      </w:r>
      <w:r>
        <w:rPr>
          <w:w w:val="105"/>
          <w:sz w:val="22"/>
        </w:rPr>
        <w:t>(2000).</w:t>
      </w:r>
      <w:r>
        <w:rPr>
          <w:spacing w:val="-4"/>
          <w:w w:val="105"/>
          <w:sz w:val="22"/>
        </w:rPr>
        <w:t> </w:t>
      </w:r>
      <w:r>
        <w:rPr>
          <w:w w:val="105"/>
          <w:sz w:val="22"/>
        </w:rPr>
        <w:t>Quality of</w:t>
      </w:r>
      <w:r>
        <w:rPr>
          <w:spacing w:val="-2"/>
          <w:w w:val="105"/>
          <w:sz w:val="22"/>
        </w:rPr>
        <w:t> </w:t>
      </w:r>
      <w:r>
        <w:rPr>
          <w:w w:val="105"/>
          <w:sz w:val="22"/>
        </w:rPr>
        <w:t>life issues for</w:t>
      </w:r>
      <w:r>
        <w:rPr>
          <w:spacing w:val="-2"/>
          <w:w w:val="105"/>
          <w:sz w:val="22"/>
        </w:rPr>
        <w:t> </w:t>
      </w:r>
      <w:r>
        <w:rPr>
          <w:w w:val="105"/>
          <w:sz w:val="22"/>
        </w:rPr>
        <w:t>fibromyalgia patients. </w:t>
      </w:r>
      <w:r>
        <w:rPr>
          <w:i/>
          <w:w w:val="105"/>
          <w:sz w:val="22"/>
        </w:rPr>
        <w:t>Arthritis Care </w:t>
      </w:r>
      <w:r>
        <w:rPr>
          <w:i/>
          <w:w w:val="105"/>
          <w:sz w:val="21"/>
        </w:rPr>
        <w:t>&amp; </w:t>
      </w:r>
      <w:r>
        <w:rPr>
          <w:i/>
          <w:w w:val="105"/>
          <w:sz w:val="22"/>
        </w:rPr>
        <w:t>Research, 13( </w:t>
      </w:r>
      <w:r>
        <w:rPr>
          <w:w w:val="105"/>
          <w:sz w:val="22"/>
        </w:rPr>
        <w:t>I),</w:t>
      </w:r>
      <w:r>
        <w:rPr>
          <w:spacing w:val="40"/>
          <w:w w:val="105"/>
          <w:sz w:val="22"/>
        </w:rPr>
        <w:t> </w:t>
      </w:r>
      <w:r>
        <w:rPr>
          <w:w w:val="105"/>
          <w:sz w:val="22"/>
        </w:rPr>
        <w:t>42-50.</w:t>
      </w:r>
    </w:p>
    <w:p>
      <w:pPr>
        <w:pStyle w:val="BodyText"/>
        <w:spacing w:before="8"/>
      </w:pPr>
    </w:p>
    <w:p>
      <w:pPr>
        <w:pStyle w:val="BodyText"/>
        <w:spacing w:line="249" w:lineRule="auto" w:before="1"/>
        <w:ind w:left="870" w:right="240" w:hanging="423"/>
      </w:pPr>
      <w:r>
        <w:rPr>
          <w:w w:val="105"/>
        </w:rPr>
        <w:t>Cherry, B. J., Zettel-Watson, L., Shimizu, R., Chang, J., Rutledge, D. N., &amp; Jones, C.</w:t>
      </w:r>
      <w:r>
        <w:rPr>
          <w:spacing w:val="-10"/>
          <w:w w:val="105"/>
        </w:rPr>
        <w:t> </w:t>
      </w:r>
      <w:r>
        <w:rPr>
          <w:w w:val="105"/>
        </w:rPr>
        <w:t>J. (2012). Positive</w:t>
      </w:r>
      <w:r>
        <w:rPr>
          <w:spacing w:val="-4"/>
          <w:w w:val="105"/>
        </w:rPr>
        <w:t> </w:t>
      </w:r>
      <w:r>
        <w:rPr>
          <w:w w:val="105"/>
        </w:rPr>
        <w:t>associations</w:t>
      </w:r>
      <w:r>
        <w:rPr>
          <w:w w:val="105"/>
        </w:rPr>
        <w:t> between</w:t>
      </w:r>
      <w:r>
        <w:rPr>
          <w:w w:val="105"/>
        </w:rPr>
        <w:t> physical and</w:t>
      </w:r>
      <w:r>
        <w:rPr>
          <w:spacing w:val="-7"/>
          <w:w w:val="105"/>
        </w:rPr>
        <w:t> </w:t>
      </w:r>
      <w:r>
        <w:rPr>
          <w:w w:val="105"/>
        </w:rPr>
        <w:t>cognitive performance</w:t>
      </w:r>
      <w:r>
        <w:rPr>
          <w:w w:val="105"/>
        </w:rPr>
        <w:t> measures in Fibromyalgia. </w:t>
      </w:r>
      <w:r>
        <w:rPr>
          <w:i/>
          <w:w w:val="105"/>
        </w:rPr>
        <w:t>Archives of Physical Medicine and Rehabilitation. 93, </w:t>
      </w:r>
      <w:r>
        <w:rPr>
          <w:w w:val="105"/>
        </w:rPr>
        <w:t>63-71. </w:t>
      </w:r>
      <w:r>
        <w:rPr>
          <w:spacing w:val="-2"/>
          <w:w w:val="105"/>
        </w:rPr>
        <w:t>doi:10.1016/j.apmr.2011.08.006</w:t>
      </w:r>
    </w:p>
    <w:p>
      <w:pPr>
        <w:pStyle w:val="BodyText"/>
        <w:spacing w:before="6"/>
      </w:pPr>
    </w:p>
    <w:p>
      <w:pPr>
        <w:spacing w:line="247" w:lineRule="auto" w:before="0"/>
        <w:ind w:left="880" w:right="149" w:hanging="433"/>
        <w:jc w:val="left"/>
        <w:rPr>
          <w:sz w:val="22"/>
        </w:rPr>
      </w:pPr>
      <w:r>
        <w:rPr>
          <w:sz w:val="22"/>
        </w:rPr>
        <w:t>Chun,</w:t>
      </w:r>
      <w:r>
        <w:rPr>
          <w:spacing w:val="34"/>
          <w:sz w:val="22"/>
        </w:rPr>
        <w:t> </w:t>
      </w:r>
      <w:r>
        <w:rPr>
          <w:sz w:val="22"/>
        </w:rPr>
        <w:t>S.,</w:t>
      </w:r>
      <w:r>
        <w:rPr>
          <w:spacing w:val="27"/>
          <w:sz w:val="22"/>
        </w:rPr>
        <w:t> </w:t>
      </w:r>
      <w:r>
        <w:rPr>
          <w:sz w:val="22"/>
        </w:rPr>
        <w:t>&amp;</w:t>
      </w:r>
      <w:r>
        <w:rPr>
          <w:spacing w:val="40"/>
          <w:sz w:val="22"/>
        </w:rPr>
        <w:t> </w:t>
      </w:r>
      <w:r>
        <w:rPr>
          <w:sz w:val="22"/>
        </w:rPr>
        <w:t>Lee,</w:t>
      </w:r>
      <w:r>
        <w:rPr>
          <w:spacing w:val="34"/>
          <w:sz w:val="22"/>
        </w:rPr>
        <w:t> </w:t>
      </w:r>
      <w:r>
        <w:rPr>
          <w:sz w:val="22"/>
        </w:rPr>
        <w:t>Y.</w:t>
      </w:r>
      <w:r>
        <w:rPr>
          <w:spacing w:val="23"/>
          <w:sz w:val="22"/>
        </w:rPr>
        <w:t> </w:t>
      </w:r>
      <w:r>
        <w:rPr>
          <w:sz w:val="22"/>
        </w:rPr>
        <w:t>(2010).</w:t>
      </w:r>
      <w:r>
        <w:rPr>
          <w:spacing w:val="26"/>
          <w:sz w:val="22"/>
        </w:rPr>
        <w:t> </w:t>
      </w:r>
      <w:r>
        <w:rPr>
          <w:sz w:val="22"/>
        </w:rPr>
        <w:t>The</w:t>
      </w:r>
      <w:r>
        <w:rPr>
          <w:spacing w:val="34"/>
          <w:sz w:val="22"/>
        </w:rPr>
        <w:t> </w:t>
      </w:r>
      <w:r>
        <w:rPr>
          <w:sz w:val="22"/>
        </w:rPr>
        <w:t>role</w:t>
      </w:r>
      <w:r>
        <w:rPr>
          <w:spacing w:val="30"/>
          <w:sz w:val="22"/>
        </w:rPr>
        <w:t> </w:t>
      </w:r>
      <w:r>
        <w:rPr>
          <w:sz w:val="22"/>
        </w:rPr>
        <w:t>of</w:t>
      </w:r>
      <w:r>
        <w:rPr>
          <w:spacing w:val="34"/>
          <w:sz w:val="22"/>
        </w:rPr>
        <w:t> </w:t>
      </w:r>
      <w:r>
        <w:rPr>
          <w:sz w:val="22"/>
        </w:rPr>
        <w:t>leisure</w:t>
      </w:r>
      <w:r>
        <w:rPr>
          <w:spacing w:val="40"/>
          <w:sz w:val="22"/>
        </w:rPr>
        <w:t> </w:t>
      </w:r>
      <w:r>
        <w:rPr>
          <w:sz w:val="22"/>
        </w:rPr>
        <w:t>in</w:t>
      </w:r>
      <w:r>
        <w:rPr>
          <w:spacing w:val="40"/>
          <w:sz w:val="22"/>
        </w:rPr>
        <w:t> </w:t>
      </w:r>
      <w:r>
        <w:rPr>
          <w:sz w:val="22"/>
        </w:rPr>
        <w:t>the</w:t>
      </w:r>
      <w:r>
        <w:rPr>
          <w:spacing w:val="26"/>
          <w:sz w:val="22"/>
        </w:rPr>
        <w:t> </w:t>
      </w:r>
      <w:r>
        <w:rPr>
          <w:sz w:val="22"/>
        </w:rPr>
        <w:t>experience</w:t>
      </w:r>
      <w:r>
        <w:rPr>
          <w:spacing w:val="40"/>
          <w:sz w:val="22"/>
        </w:rPr>
        <w:t> </w:t>
      </w:r>
      <w:r>
        <w:rPr>
          <w:sz w:val="22"/>
        </w:rPr>
        <w:t>ofposttraumatic</w:t>
      </w:r>
      <w:r>
        <w:rPr>
          <w:spacing w:val="28"/>
          <w:sz w:val="22"/>
        </w:rPr>
        <w:t> </w:t>
      </w:r>
      <w:r>
        <w:rPr>
          <w:sz w:val="22"/>
        </w:rPr>
        <w:t>growth </w:t>
      </w:r>
      <w:r>
        <w:rPr>
          <w:w w:val="110"/>
          <w:sz w:val="22"/>
        </w:rPr>
        <w:t>for</w:t>
      </w:r>
      <w:r>
        <w:rPr>
          <w:spacing w:val="-16"/>
          <w:w w:val="110"/>
          <w:sz w:val="22"/>
        </w:rPr>
        <w:t> </w:t>
      </w:r>
      <w:r>
        <w:rPr>
          <w:w w:val="110"/>
          <w:sz w:val="22"/>
        </w:rPr>
        <w:t>people</w:t>
      </w:r>
      <w:r>
        <w:rPr>
          <w:spacing w:val="-14"/>
          <w:w w:val="110"/>
          <w:sz w:val="22"/>
        </w:rPr>
        <w:t> </w:t>
      </w:r>
      <w:r>
        <w:rPr>
          <w:w w:val="110"/>
          <w:sz w:val="22"/>
        </w:rPr>
        <w:t>with</w:t>
      </w:r>
      <w:r>
        <w:rPr>
          <w:spacing w:val="-15"/>
          <w:w w:val="110"/>
          <w:sz w:val="22"/>
        </w:rPr>
        <w:t> </w:t>
      </w:r>
      <w:r>
        <w:rPr>
          <w:w w:val="110"/>
          <w:sz w:val="22"/>
        </w:rPr>
        <w:t>spinal</w:t>
      </w:r>
      <w:r>
        <w:rPr>
          <w:spacing w:val="-15"/>
          <w:w w:val="110"/>
          <w:sz w:val="22"/>
        </w:rPr>
        <w:t> </w:t>
      </w:r>
      <w:r>
        <w:rPr>
          <w:w w:val="110"/>
          <w:sz w:val="22"/>
        </w:rPr>
        <w:t>cord</w:t>
      </w:r>
      <w:r>
        <w:rPr>
          <w:spacing w:val="-7"/>
          <w:w w:val="110"/>
          <w:sz w:val="22"/>
        </w:rPr>
        <w:t> </w:t>
      </w:r>
      <w:r>
        <w:rPr>
          <w:w w:val="110"/>
          <w:sz w:val="22"/>
        </w:rPr>
        <w:t>injury.</w:t>
      </w:r>
      <w:r>
        <w:rPr>
          <w:spacing w:val="-15"/>
          <w:w w:val="110"/>
          <w:sz w:val="22"/>
        </w:rPr>
        <w:t> </w:t>
      </w:r>
      <w:r>
        <w:rPr>
          <w:i/>
          <w:w w:val="110"/>
          <w:sz w:val="22"/>
        </w:rPr>
        <w:t>Journal</w:t>
      </w:r>
      <w:r>
        <w:rPr>
          <w:i/>
          <w:spacing w:val="-15"/>
          <w:w w:val="110"/>
          <w:sz w:val="22"/>
        </w:rPr>
        <w:t> </w:t>
      </w:r>
      <w:r>
        <w:rPr>
          <w:i/>
          <w:w w:val="110"/>
          <w:sz w:val="22"/>
        </w:rPr>
        <w:t>of</w:t>
      </w:r>
      <w:r>
        <w:rPr>
          <w:i/>
          <w:spacing w:val="-15"/>
          <w:w w:val="110"/>
          <w:sz w:val="22"/>
        </w:rPr>
        <w:t> </w:t>
      </w:r>
      <w:r>
        <w:rPr>
          <w:i/>
          <w:w w:val="110"/>
          <w:sz w:val="22"/>
        </w:rPr>
        <w:t>Leisure</w:t>
      </w:r>
      <w:r>
        <w:rPr>
          <w:i/>
          <w:spacing w:val="-6"/>
          <w:w w:val="110"/>
          <w:sz w:val="22"/>
        </w:rPr>
        <w:t> </w:t>
      </w:r>
      <w:r>
        <w:rPr>
          <w:i/>
          <w:w w:val="110"/>
          <w:sz w:val="22"/>
        </w:rPr>
        <w:t>Research,</w:t>
      </w:r>
      <w:r>
        <w:rPr>
          <w:i/>
          <w:spacing w:val="-15"/>
          <w:w w:val="110"/>
          <w:sz w:val="22"/>
        </w:rPr>
        <w:t> </w:t>
      </w:r>
      <w:r>
        <w:rPr>
          <w:i/>
          <w:w w:val="110"/>
          <w:sz w:val="22"/>
        </w:rPr>
        <w:t>42(3),</w:t>
      </w:r>
      <w:r>
        <w:rPr>
          <w:i/>
          <w:spacing w:val="-15"/>
          <w:w w:val="110"/>
          <w:sz w:val="22"/>
        </w:rPr>
        <w:t> </w:t>
      </w:r>
      <w:r>
        <w:rPr>
          <w:w w:val="110"/>
          <w:sz w:val="22"/>
        </w:rPr>
        <w:t>393-415.</w:t>
      </w:r>
    </w:p>
    <w:p>
      <w:pPr>
        <w:pStyle w:val="BodyText"/>
        <w:spacing w:before="9"/>
      </w:pPr>
    </w:p>
    <w:p>
      <w:pPr>
        <w:spacing w:line="247" w:lineRule="auto" w:before="0"/>
        <w:ind w:left="876" w:right="240" w:hanging="424"/>
        <w:jc w:val="left"/>
        <w:rPr>
          <w:sz w:val="22"/>
        </w:rPr>
      </w:pPr>
      <w:r>
        <w:rPr>
          <w:w w:val="105"/>
          <w:sz w:val="22"/>
        </w:rPr>
        <w:t>Coleman, D.,</w:t>
      </w:r>
      <w:r>
        <w:rPr>
          <w:spacing w:val="-1"/>
          <w:w w:val="105"/>
          <w:sz w:val="22"/>
        </w:rPr>
        <w:t> </w:t>
      </w:r>
      <w:r>
        <w:rPr>
          <w:w w:val="105"/>
          <w:sz w:val="22"/>
        </w:rPr>
        <w:t>&amp; Iso-Ahola,</w:t>
      </w:r>
      <w:r>
        <w:rPr>
          <w:spacing w:val="-3"/>
          <w:w w:val="105"/>
          <w:sz w:val="22"/>
        </w:rPr>
        <w:t> </w:t>
      </w:r>
      <w:r>
        <w:rPr>
          <w:w w:val="105"/>
          <w:sz w:val="22"/>
        </w:rPr>
        <w:t>S.</w:t>
      </w:r>
      <w:r>
        <w:rPr>
          <w:spacing w:val="-6"/>
          <w:w w:val="105"/>
          <w:sz w:val="22"/>
        </w:rPr>
        <w:t> </w:t>
      </w:r>
      <w:r>
        <w:rPr>
          <w:w w:val="105"/>
          <w:sz w:val="22"/>
        </w:rPr>
        <w:t>E.</w:t>
      </w:r>
      <w:r>
        <w:rPr>
          <w:spacing w:val="-13"/>
          <w:w w:val="105"/>
          <w:sz w:val="22"/>
        </w:rPr>
        <w:t> </w:t>
      </w:r>
      <w:r>
        <w:rPr>
          <w:w w:val="105"/>
          <w:sz w:val="22"/>
        </w:rPr>
        <w:t>(1993). Leisure and health: The role</w:t>
      </w:r>
      <w:r>
        <w:rPr>
          <w:spacing w:val="-2"/>
          <w:w w:val="105"/>
          <w:sz w:val="22"/>
        </w:rPr>
        <w:t> </w:t>
      </w:r>
      <w:r>
        <w:rPr>
          <w:w w:val="105"/>
          <w:sz w:val="22"/>
        </w:rPr>
        <w:t>of</w:t>
      </w:r>
      <w:r>
        <w:rPr>
          <w:spacing w:val="-9"/>
          <w:w w:val="105"/>
          <w:sz w:val="22"/>
        </w:rPr>
        <w:t> </w:t>
      </w:r>
      <w:r>
        <w:rPr>
          <w:w w:val="105"/>
          <w:sz w:val="22"/>
        </w:rPr>
        <w:t>social support and self-determination. </w:t>
      </w:r>
      <w:r>
        <w:rPr>
          <w:i/>
          <w:w w:val="105"/>
          <w:sz w:val="22"/>
        </w:rPr>
        <w:t>Journal of Leisure</w:t>
      </w:r>
      <w:r>
        <w:rPr>
          <w:i/>
          <w:spacing w:val="40"/>
          <w:w w:val="105"/>
          <w:sz w:val="22"/>
        </w:rPr>
        <w:t> </w:t>
      </w:r>
      <w:r>
        <w:rPr>
          <w:i/>
          <w:w w:val="105"/>
          <w:sz w:val="22"/>
        </w:rPr>
        <w:t>Research, 25(2), </w:t>
      </w:r>
      <w:r>
        <w:rPr>
          <w:w w:val="105"/>
          <w:sz w:val="22"/>
        </w:rPr>
        <w:t>111-128.</w:t>
      </w:r>
    </w:p>
    <w:p>
      <w:pPr>
        <w:pStyle w:val="BodyText"/>
        <w:spacing w:before="5"/>
      </w:pPr>
    </w:p>
    <w:p>
      <w:pPr>
        <w:pStyle w:val="BodyText"/>
        <w:spacing w:line="249" w:lineRule="auto"/>
        <w:ind w:left="878" w:right="149" w:hanging="412"/>
      </w:pPr>
      <w:r>
        <w:rPr>
          <w:w w:val="105"/>
        </w:rPr>
        <w:t>Elliott, T.</w:t>
      </w:r>
      <w:r>
        <w:rPr>
          <w:spacing w:val="-2"/>
          <w:w w:val="105"/>
        </w:rPr>
        <w:t> </w:t>
      </w:r>
      <w:r>
        <w:rPr>
          <w:w w:val="105"/>
        </w:rPr>
        <w:t>R.,</w:t>
      </w:r>
      <w:r>
        <w:rPr>
          <w:spacing w:val="-7"/>
          <w:w w:val="105"/>
        </w:rPr>
        <w:t> </w:t>
      </w:r>
      <w:r>
        <w:rPr>
          <w:w w:val="105"/>
        </w:rPr>
        <w:t>&amp;</w:t>
      </w:r>
      <w:r>
        <w:rPr>
          <w:spacing w:val="-6"/>
          <w:w w:val="105"/>
        </w:rPr>
        <w:t> </w:t>
      </w:r>
      <w:r>
        <w:rPr>
          <w:w w:val="105"/>
        </w:rPr>
        <w:t>Shewchuk,</w:t>
      </w:r>
      <w:r>
        <w:rPr>
          <w:spacing w:val="21"/>
          <w:w w:val="105"/>
        </w:rPr>
        <w:t> </w:t>
      </w:r>
      <w:r>
        <w:rPr>
          <w:w w:val="105"/>
        </w:rPr>
        <w:t>R. M.</w:t>
      </w:r>
      <w:r>
        <w:rPr>
          <w:spacing w:val="-9"/>
          <w:w w:val="105"/>
        </w:rPr>
        <w:t> </w:t>
      </w:r>
      <w:r>
        <w:rPr>
          <w:w w:val="105"/>
        </w:rPr>
        <w:t>(1995).</w:t>
      </w:r>
      <w:r>
        <w:rPr>
          <w:spacing w:val="-6"/>
          <w:w w:val="105"/>
        </w:rPr>
        <w:t> </w:t>
      </w:r>
      <w:r>
        <w:rPr>
          <w:w w:val="105"/>
        </w:rPr>
        <w:t>Social</w:t>
      </w:r>
      <w:r>
        <w:rPr>
          <w:spacing w:val="-1"/>
          <w:w w:val="105"/>
        </w:rPr>
        <w:t> </w:t>
      </w:r>
      <w:r>
        <w:rPr>
          <w:w w:val="105"/>
        </w:rPr>
        <w:t>support and leisure</w:t>
      </w:r>
      <w:r>
        <w:rPr>
          <w:spacing w:val="-2"/>
          <w:w w:val="105"/>
        </w:rPr>
        <w:t> </w:t>
      </w:r>
      <w:r>
        <w:rPr>
          <w:w w:val="105"/>
        </w:rPr>
        <w:t>activities following severe physical disability: Testing the mediating effects of depression.</w:t>
      </w:r>
      <w:r>
        <w:rPr>
          <w:w w:val="105"/>
        </w:rPr>
        <w:t> </w:t>
      </w:r>
      <w:r>
        <w:rPr>
          <w:i/>
          <w:w w:val="105"/>
        </w:rPr>
        <w:t>Basic and</w:t>
      </w:r>
      <w:r>
        <w:rPr>
          <w:i/>
          <w:w w:val="105"/>
        </w:rPr>
        <w:t> Applied Social Psychology, 16(</w:t>
      </w:r>
      <w:r>
        <w:rPr>
          <w:i/>
          <w:spacing w:val="-17"/>
          <w:w w:val="105"/>
        </w:rPr>
        <w:t> </w:t>
      </w:r>
      <w:r>
        <w:rPr>
          <w:w w:val="105"/>
        </w:rPr>
        <w:t>4), 471-487.</w:t>
      </w:r>
    </w:p>
    <w:p>
      <w:pPr>
        <w:pStyle w:val="BodyText"/>
        <w:spacing w:before="5"/>
      </w:pPr>
    </w:p>
    <w:p>
      <w:pPr>
        <w:pStyle w:val="BodyText"/>
        <w:spacing w:line="249" w:lineRule="auto"/>
        <w:ind w:left="878" w:right="149" w:hanging="412"/>
      </w:pPr>
      <w:r>
        <w:rPr>
          <w:w w:val="105"/>
        </w:rPr>
        <w:t>Hoffman, M. D., &amp; Hoffman, D. R. (2007). Does aerobic exercise improve pain perception and mood? A review</w:t>
      </w:r>
      <w:r>
        <w:rPr>
          <w:spacing w:val="-3"/>
          <w:w w:val="105"/>
        </w:rPr>
        <w:t> </w:t>
      </w:r>
      <w:r>
        <w:rPr>
          <w:w w:val="105"/>
        </w:rPr>
        <w:t>of</w:t>
      </w:r>
      <w:r>
        <w:rPr>
          <w:spacing w:val="-9"/>
          <w:w w:val="105"/>
        </w:rPr>
        <w:t> </w:t>
      </w:r>
      <w:r>
        <w:rPr>
          <w:w w:val="105"/>
        </w:rPr>
        <w:t>the</w:t>
      </w:r>
      <w:r>
        <w:rPr>
          <w:spacing w:val="-9"/>
          <w:w w:val="105"/>
        </w:rPr>
        <w:t> </w:t>
      </w:r>
      <w:r>
        <w:rPr>
          <w:w w:val="105"/>
        </w:rPr>
        <w:t>evidence related to healthy and chronic pain subjects. </w:t>
      </w:r>
      <w:r>
        <w:rPr>
          <w:i/>
          <w:w w:val="105"/>
        </w:rPr>
        <w:t>Current Pain and Headache</w:t>
      </w:r>
      <w:r>
        <w:rPr>
          <w:i/>
          <w:spacing w:val="40"/>
          <w:w w:val="105"/>
        </w:rPr>
        <w:t> </w:t>
      </w:r>
      <w:r>
        <w:rPr>
          <w:i/>
          <w:w w:val="105"/>
        </w:rPr>
        <w:t>Reports, 11(2), </w:t>
      </w:r>
      <w:r>
        <w:rPr>
          <w:w w:val="105"/>
        </w:rPr>
        <w:t>93-97.</w:t>
      </w:r>
    </w:p>
    <w:p>
      <w:pPr>
        <w:pStyle w:val="BodyText"/>
        <w:spacing w:before="1"/>
      </w:pPr>
    </w:p>
    <w:p>
      <w:pPr>
        <w:pStyle w:val="BodyText"/>
        <w:spacing w:line="249" w:lineRule="auto"/>
        <w:ind w:left="892" w:right="164" w:hanging="421"/>
      </w:pPr>
      <w:r>
        <w:rPr>
          <w:w w:val="105"/>
        </w:rPr>
        <w:t>House, J. S., Robbins, C., &amp; Metzner,</w:t>
      </w:r>
      <w:r>
        <w:rPr>
          <w:spacing w:val="27"/>
          <w:w w:val="105"/>
        </w:rPr>
        <w:t> </w:t>
      </w:r>
      <w:r>
        <w:rPr>
          <w:w w:val="105"/>
        </w:rPr>
        <w:t>H. L. (1982). The association</w:t>
      </w:r>
      <w:r>
        <w:rPr>
          <w:spacing w:val="28"/>
          <w:w w:val="105"/>
        </w:rPr>
        <w:t> </w:t>
      </w:r>
      <w:r>
        <w:rPr>
          <w:w w:val="105"/>
        </w:rPr>
        <w:t>of social relationships and</w:t>
      </w:r>
      <w:r>
        <w:rPr>
          <w:spacing w:val="-2"/>
          <w:w w:val="105"/>
        </w:rPr>
        <w:t> </w:t>
      </w:r>
      <w:r>
        <w:rPr>
          <w:w w:val="105"/>
        </w:rPr>
        <w:t>activities</w:t>
      </w:r>
      <w:r>
        <w:rPr>
          <w:spacing w:val="-3"/>
          <w:w w:val="105"/>
        </w:rPr>
        <w:t> </w:t>
      </w:r>
      <w:r>
        <w:rPr>
          <w:w w:val="105"/>
        </w:rPr>
        <w:t>with mortality -</w:t>
      </w:r>
      <w:r>
        <w:rPr>
          <w:spacing w:val="-3"/>
          <w:w w:val="105"/>
        </w:rPr>
        <w:t> </w:t>
      </w:r>
      <w:r>
        <w:rPr>
          <w:w w:val="105"/>
        </w:rPr>
        <w:t>prospective</w:t>
      </w:r>
      <w:r>
        <w:rPr>
          <w:spacing w:val="-4"/>
          <w:w w:val="105"/>
        </w:rPr>
        <w:t> </w:t>
      </w:r>
      <w:r>
        <w:rPr>
          <w:w w:val="105"/>
        </w:rPr>
        <w:t>evidence from the</w:t>
      </w:r>
      <w:r>
        <w:rPr>
          <w:spacing w:val="-11"/>
          <w:w w:val="105"/>
        </w:rPr>
        <w:t> </w:t>
      </w:r>
      <w:r>
        <w:rPr>
          <w:w w:val="105"/>
        </w:rPr>
        <w:t>Tecumseh Health Study. </w:t>
      </w:r>
      <w:r>
        <w:rPr>
          <w:i/>
          <w:w w:val="105"/>
        </w:rPr>
        <w:t>American Journal of Epidemiology, 116(3), </w:t>
      </w:r>
      <w:r>
        <w:rPr>
          <w:w w:val="105"/>
        </w:rPr>
        <w:t>567.</w:t>
      </w:r>
    </w:p>
    <w:p>
      <w:pPr>
        <w:pStyle w:val="BodyText"/>
      </w:pPr>
    </w:p>
    <w:p>
      <w:pPr>
        <w:pStyle w:val="BodyText"/>
        <w:spacing w:line="249" w:lineRule="auto"/>
        <w:ind w:left="881" w:right="149" w:hanging="403"/>
      </w:pPr>
      <w:r>
        <w:rPr>
          <w:w w:val="105"/>
        </w:rPr>
        <w:t>Iso-Ahola, S. E., &amp; Park, C. J.</w:t>
      </w:r>
      <w:r>
        <w:rPr>
          <w:spacing w:val="-5"/>
          <w:w w:val="105"/>
        </w:rPr>
        <w:t> </w:t>
      </w:r>
      <w:r>
        <w:rPr>
          <w:w w:val="105"/>
        </w:rPr>
        <w:t>(1996). Leisure-related social support and self­ determination</w:t>
      </w:r>
      <w:r>
        <w:rPr>
          <w:w w:val="105"/>
        </w:rPr>
        <w:t> as</w:t>
      </w:r>
      <w:r>
        <w:rPr>
          <w:spacing w:val="-4"/>
          <w:w w:val="105"/>
        </w:rPr>
        <w:t> </w:t>
      </w:r>
      <w:r>
        <w:rPr>
          <w:w w:val="105"/>
        </w:rPr>
        <w:t>buffers</w:t>
      </w:r>
      <w:r>
        <w:rPr>
          <w:spacing w:val="-1"/>
          <w:w w:val="105"/>
        </w:rPr>
        <w:t> </w:t>
      </w:r>
      <w:r>
        <w:rPr>
          <w:w w:val="105"/>
        </w:rPr>
        <w:t>of</w:t>
      </w:r>
      <w:r>
        <w:rPr>
          <w:spacing w:val="-6"/>
          <w:w w:val="105"/>
        </w:rPr>
        <w:t> </w:t>
      </w:r>
      <w:r>
        <w:rPr>
          <w:w w:val="105"/>
        </w:rPr>
        <w:t>stress-illness</w:t>
      </w:r>
      <w:r>
        <w:rPr>
          <w:spacing w:val="-2"/>
          <w:w w:val="105"/>
        </w:rPr>
        <w:t> </w:t>
      </w:r>
      <w:r>
        <w:rPr>
          <w:w w:val="105"/>
        </w:rPr>
        <w:t>relationship. </w:t>
      </w:r>
      <w:r>
        <w:rPr>
          <w:i/>
          <w:w w:val="105"/>
        </w:rPr>
        <w:t>Journal of Leisure Research,</w:t>
      </w:r>
      <w:r>
        <w:rPr>
          <w:i/>
          <w:w w:val="105"/>
        </w:rPr>
        <w:t> 28(3), </w:t>
      </w:r>
      <w:r>
        <w:rPr>
          <w:w w:val="105"/>
        </w:rPr>
        <w:t>169-187.</w:t>
      </w:r>
    </w:p>
    <w:p>
      <w:pPr>
        <w:pStyle w:val="BodyText"/>
        <w:spacing w:before="1"/>
      </w:pPr>
    </w:p>
    <w:p>
      <w:pPr>
        <w:pStyle w:val="BodyText"/>
        <w:spacing w:line="249" w:lineRule="auto"/>
        <w:ind w:left="881" w:right="149" w:hanging="416"/>
      </w:pPr>
      <w:r>
        <w:rPr>
          <w:w w:val="105"/>
        </w:rPr>
        <w:t>Jones, C. J., Rutledge, D. N., &amp; Aquino, J. (20</w:t>
      </w:r>
      <w:r>
        <w:rPr>
          <w:spacing w:val="-28"/>
          <w:w w:val="105"/>
        </w:rPr>
        <w:t> </w:t>
      </w:r>
      <w:r>
        <w:rPr>
          <w:w w:val="105"/>
        </w:rPr>
        <w:t>I</w:t>
      </w:r>
      <w:r>
        <w:rPr>
          <w:spacing w:val="-25"/>
          <w:w w:val="105"/>
        </w:rPr>
        <w:t> </w:t>
      </w:r>
      <w:r>
        <w:rPr>
          <w:w w:val="105"/>
        </w:rPr>
        <w:t>0). Predictors of physical</w:t>
      </w:r>
      <w:r>
        <w:rPr>
          <w:spacing w:val="34"/>
          <w:w w:val="105"/>
        </w:rPr>
        <w:t> </w:t>
      </w:r>
      <w:r>
        <w:rPr>
          <w:w w:val="105"/>
        </w:rPr>
        <w:t>performance</w:t>
      </w:r>
      <w:r>
        <w:rPr>
          <w:w w:val="105"/>
        </w:rPr>
        <w:t> and functional ability in people</w:t>
      </w:r>
      <w:r>
        <w:rPr>
          <w:spacing w:val="-1"/>
          <w:w w:val="105"/>
        </w:rPr>
        <w:t> </w:t>
      </w:r>
      <w:r>
        <w:rPr>
          <w:w w:val="105"/>
        </w:rPr>
        <w:t>50+</w:t>
      </w:r>
      <w:r>
        <w:rPr>
          <w:spacing w:val="-4"/>
          <w:w w:val="105"/>
        </w:rPr>
        <w:t> </w:t>
      </w:r>
      <w:r>
        <w:rPr>
          <w:w w:val="105"/>
        </w:rPr>
        <w:t>with</w:t>
      </w:r>
      <w:r>
        <w:rPr>
          <w:spacing w:val="-6"/>
          <w:w w:val="105"/>
        </w:rPr>
        <w:t> </w:t>
      </w:r>
      <w:r>
        <w:rPr>
          <w:w w:val="105"/>
        </w:rPr>
        <w:t>and without fibromyalgia. </w:t>
      </w:r>
      <w:r>
        <w:rPr>
          <w:i/>
          <w:w w:val="105"/>
        </w:rPr>
        <w:t>Journal of</w:t>
      </w:r>
      <w:r>
        <w:rPr>
          <w:i/>
          <w:spacing w:val="-4"/>
          <w:w w:val="105"/>
        </w:rPr>
        <w:t> </w:t>
      </w:r>
      <w:r>
        <w:rPr>
          <w:i/>
          <w:w w:val="105"/>
        </w:rPr>
        <w:t>Aging</w:t>
      </w:r>
      <w:r>
        <w:rPr>
          <w:i/>
          <w:w w:val="105"/>
        </w:rPr>
        <w:t> and Physical Activity, </w:t>
      </w:r>
      <w:r>
        <w:rPr>
          <w:w w:val="105"/>
        </w:rPr>
        <w:t>18(3), 353-368.</w:t>
      </w:r>
    </w:p>
    <w:p>
      <w:pPr>
        <w:pStyle w:val="BodyText"/>
      </w:pPr>
    </w:p>
    <w:p>
      <w:pPr>
        <w:pStyle w:val="BodyText"/>
        <w:spacing w:line="249" w:lineRule="auto" w:before="1"/>
        <w:ind w:left="881" w:right="410" w:hanging="416"/>
      </w:pPr>
      <w:r>
        <w:rPr>
          <w:w w:val="105"/>
        </w:rPr>
        <w:t>Joudrey, A. D., &amp; Wallace, J.E.</w:t>
      </w:r>
      <w:r>
        <w:rPr>
          <w:spacing w:val="-12"/>
          <w:w w:val="105"/>
        </w:rPr>
        <w:t> </w:t>
      </w:r>
      <w:r>
        <w:rPr>
          <w:w w:val="105"/>
        </w:rPr>
        <w:t>(2009). Leisure as</w:t>
      </w:r>
      <w:r>
        <w:rPr>
          <w:spacing w:val="-6"/>
          <w:w w:val="105"/>
        </w:rPr>
        <w:t> </w:t>
      </w:r>
      <w:r>
        <w:rPr>
          <w:w w:val="105"/>
        </w:rPr>
        <w:t>a</w:t>
      </w:r>
      <w:r>
        <w:rPr>
          <w:spacing w:val="-1"/>
          <w:w w:val="105"/>
        </w:rPr>
        <w:t> </w:t>
      </w:r>
      <w:r>
        <w:rPr>
          <w:w w:val="105"/>
        </w:rPr>
        <w:t>coping resource: A test of the</w:t>
      </w:r>
      <w:r>
        <w:rPr>
          <w:spacing w:val="-11"/>
          <w:w w:val="105"/>
        </w:rPr>
        <w:t> </w:t>
      </w:r>
      <w:r>
        <w:rPr>
          <w:w w:val="105"/>
        </w:rPr>
        <w:t>job demand-control-support model. </w:t>
      </w:r>
      <w:r>
        <w:rPr>
          <w:i/>
          <w:w w:val="105"/>
        </w:rPr>
        <w:t>Human Relations, 62(2), </w:t>
      </w:r>
      <w:r>
        <w:rPr>
          <w:w w:val="105"/>
        </w:rPr>
        <w:t>195-217.</w:t>
      </w:r>
    </w:p>
    <w:p>
      <w:pPr>
        <w:pStyle w:val="BodyText"/>
        <w:spacing w:before="2"/>
        <w:ind w:left="881"/>
      </w:pPr>
      <w:r>
        <w:rPr/>
        <w:t>doi:</w:t>
      </w:r>
      <w:r>
        <w:rPr>
          <w:spacing w:val="-25"/>
        </w:rPr>
        <w:t> </w:t>
      </w:r>
      <w:r>
        <w:rPr/>
        <w:t>I</w:t>
      </w:r>
      <w:r>
        <w:rPr>
          <w:spacing w:val="-21"/>
        </w:rPr>
        <w:t> </w:t>
      </w:r>
      <w:r>
        <w:rPr>
          <w:spacing w:val="-2"/>
        </w:rPr>
        <w:t>0.1177/0018726708100357</w:t>
      </w:r>
    </w:p>
    <w:p>
      <w:pPr>
        <w:pStyle w:val="BodyText"/>
        <w:spacing w:before="13"/>
      </w:pPr>
    </w:p>
    <w:p>
      <w:pPr>
        <w:pStyle w:val="BodyText"/>
        <w:spacing w:line="249" w:lineRule="auto"/>
        <w:ind w:left="892" w:right="240" w:hanging="411"/>
      </w:pPr>
      <w:r>
        <w:rPr>
          <w:w w:val="105"/>
        </w:rPr>
        <w:t>Katz, P.</w:t>
      </w:r>
      <w:r>
        <w:rPr>
          <w:spacing w:val="-1"/>
          <w:w w:val="105"/>
        </w:rPr>
        <w:t> </w:t>
      </w:r>
      <w:r>
        <w:rPr>
          <w:w w:val="105"/>
        </w:rPr>
        <w:t>P.,</w:t>
      </w:r>
      <w:r>
        <w:rPr>
          <w:spacing w:val="-9"/>
          <w:w w:val="105"/>
        </w:rPr>
        <w:t> </w:t>
      </w:r>
      <w:r>
        <w:rPr>
          <w:w w:val="105"/>
        </w:rPr>
        <w:t>&amp; Yelin, E.</w:t>
      </w:r>
      <w:r>
        <w:rPr>
          <w:spacing w:val="-6"/>
          <w:w w:val="105"/>
        </w:rPr>
        <w:t> </w:t>
      </w:r>
      <w:r>
        <w:rPr>
          <w:w w:val="105"/>
        </w:rPr>
        <w:t>H.</w:t>
      </w:r>
      <w:r>
        <w:rPr>
          <w:spacing w:val="-15"/>
          <w:w w:val="105"/>
        </w:rPr>
        <w:t> </w:t>
      </w:r>
      <w:r>
        <w:rPr>
          <w:w w:val="105"/>
        </w:rPr>
        <w:t>(1994). Life</w:t>
      </w:r>
      <w:r>
        <w:rPr>
          <w:spacing w:val="-6"/>
          <w:w w:val="105"/>
        </w:rPr>
        <w:t> </w:t>
      </w:r>
      <w:r>
        <w:rPr>
          <w:w w:val="105"/>
        </w:rPr>
        <w:t>activities</w:t>
      </w:r>
      <w:r>
        <w:rPr>
          <w:spacing w:val="-5"/>
          <w:w w:val="105"/>
        </w:rPr>
        <w:t> </w:t>
      </w:r>
      <w:r>
        <w:rPr>
          <w:w w:val="105"/>
        </w:rPr>
        <w:t>of persons with rheumatoid</w:t>
      </w:r>
      <w:r>
        <w:rPr>
          <w:spacing w:val="16"/>
          <w:w w:val="105"/>
        </w:rPr>
        <w:t> </w:t>
      </w:r>
      <w:r>
        <w:rPr>
          <w:w w:val="105"/>
        </w:rPr>
        <w:t>arthritis with and without depressive symptoms. </w:t>
      </w:r>
      <w:r>
        <w:rPr>
          <w:i/>
          <w:w w:val="105"/>
        </w:rPr>
        <w:t>Arthritis </w:t>
      </w:r>
      <w:r>
        <w:rPr>
          <w:i/>
          <w:w w:val="105"/>
          <w:sz w:val="21"/>
        </w:rPr>
        <w:t>&amp; </w:t>
      </w:r>
      <w:r>
        <w:rPr>
          <w:i/>
          <w:w w:val="105"/>
        </w:rPr>
        <w:t>Rheumatism,</w:t>
      </w:r>
      <w:r>
        <w:rPr>
          <w:i/>
          <w:w w:val="105"/>
        </w:rPr>
        <w:t> </w:t>
      </w:r>
      <w:r>
        <w:rPr>
          <w:w w:val="105"/>
        </w:rPr>
        <w:t>7(2), 69-77.</w:t>
      </w:r>
    </w:p>
    <w:p>
      <w:pPr>
        <w:pStyle w:val="BodyText"/>
        <w:spacing w:before="9"/>
      </w:pPr>
    </w:p>
    <w:p>
      <w:pPr>
        <w:pStyle w:val="BodyText"/>
        <w:spacing w:line="247" w:lineRule="auto"/>
        <w:ind w:left="886" w:right="260" w:hanging="405"/>
        <w:jc w:val="both"/>
      </w:pPr>
      <w:r>
        <w:rPr>
          <w:w w:val="105"/>
        </w:rPr>
        <w:t>Katz,</w:t>
      </w:r>
      <w:r>
        <w:rPr>
          <w:spacing w:val="-2"/>
          <w:w w:val="105"/>
        </w:rPr>
        <w:t> </w:t>
      </w:r>
      <w:r>
        <w:rPr>
          <w:w w:val="105"/>
        </w:rPr>
        <w:t>P. P.,</w:t>
      </w:r>
      <w:r>
        <w:rPr>
          <w:spacing w:val="-4"/>
          <w:w w:val="105"/>
        </w:rPr>
        <w:t> </w:t>
      </w:r>
      <w:r>
        <w:rPr>
          <w:w w:val="105"/>
        </w:rPr>
        <w:t>&amp; Yelin, E. H.</w:t>
      </w:r>
      <w:r>
        <w:rPr>
          <w:spacing w:val="-5"/>
          <w:w w:val="105"/>
        </w:rPr>
        <w:t> </w:t>
      </w:r>
      <w:r>
        <w:rPr>
          <w:w w:val="105"/>
        </w:rPr>
        <w:t>(200</w:t>
      </w:r>
      <w:r>
        <w:rPr>
          <w:spacing w:val="-15"/>
          <w:w w:val="105"/>
        </w:rPr>
        <w:t> </w:t>
      </w:r>
      <w:r>
        <w:rPr>
          <w:w w:val="105"/>
        </w:rPr>
        <w:t>I). Activity loss</w:t>
      </w:r>
      <w:r>
        <w:rPr>
          <w:spacing w:val="-4"/>
          <w:w w:val="105"/>
        </w:rPr>
        <w:t> </w:t>
      </w:r>
      <w:r>
        <w:rPr>
          <w:w w:val="105"/>
        </w:rPr>
        <w:t>and the</w:t>
      </w:r>
      <w:r>
        <w:rPr>
          <w:spacing w:val="-7"/>
          <w:w w:val="105"/>
        </w:rPr>
        <w:t> </w:t>
      </w:r>
      <w:r>
        <w:rPr>
          <w:w w:val="105"/>
        </w:rPr>
        <w:t>onset of depressive symptoms - do</w:t>
      </w:r>
      <w:r>
        <w:rPr>
          <w:spacing w:val="-15"/>
          <w:w w:val="105"/>
        </w:rPr>
        <w:t> </w:t>
      </w:r>
      <w:r>
        <w:rPr>
          <w:w w:val="105"/>
        </w:rPr>
        <w:t>some</w:t>
      </w:r>
      <w:r>
        <w:rPr>
          <w:spacing w:val="-1"/>
          <w:w w:val="105"/>
        </w:rPr>
        <w:t> </w:t>
      </w:r>
      <w:r>
        <w:rPr>
          <w:w w:val="105"/>
        </w:rPr>
        <w:t>activities matter more than others? </w:t>
      </w:r>
      <w:r>
        <w:rPr>
          <w:i/>
          <w:w w:val="105"/>
        </w:rPr>
        <w:t>Arthritis and Rheumatism, 44(5), </w:t>
      </w:r>
      <w:r>
        <w:rPr>
          <w:w w:val="105"/>
        </w:rPr>
        <w:t>I</w:t>
      </w:r>
      <w:r>
        <w:rPr>
          <w:spacing w:val="-15"/>
          <w:w w:val="105"/>
        </w:rPr>
        <w:t> </w:t>
      </w:r>
      <w:r>
        <w:rPr>
          <w:w w:val="105"/>
        </w:rPr>
        <w:t>194- </w:t>
      </w:r>
      <w:r>
        <w:rPr>
          <w:spacing w:val="-4"/>
          <w:w w:val="105"/>
        </w:rPr>
        <w:t>1202.</w:t>
      </w:r>
    </w:p>
    <w:p>
      <w:pPr>
        <w:spacing w:after="0" w:line="247" w:lineRule="auto"/>
        <w:jc w:val="both"/>
        <w:sectPr>
          <w:pgSz w:w="12480" w:h="15760"/>
          <w:pgMar w:header="1044" w:footer="0" w:top="1600" w:bottom="280" w:left="1760" w:right="1760"/>
        </w:sectPr>
      </w:pPr>
    </w:p>
    <w:p>
      <w:pPr>
        <w:spacing w:line="247" w:lineRule="auto" w:before="81"/>
        <w:ind w:left="945" w:right="149" w:hanging="421"/>
        <w:jc w:val="left"/>
        <w:rPr>
          <w:sz w:val="22"/>
        </w:rPr>
      </w:pPr>
      <w:r>
        <w:rPr>
          <w:w w:val="105"/>
          <w:sz w:val="22"/>
        </w:rPr>
        <w:t>Kemler, M.</w:t>
      </w:r>
      <w:r>
        <w:rPr>
          <w:spacing w:val="-7"/>
          <w:w w:val="105"/>
          <w:sz w:val="22"/>
        </w:rPr>
        <w:t> </w:t>
      </w:r>
      <w:r>
        <w:rPr>
          <w:w w:val="105"/>
          <w:sz w:val="22"/>
        </w:rPr>
        <w:t>A.,</w:t>
      </w:r>
      <w:r>
        <w:rPr>
          <w:spacing w:val="-7"/>
          <w:w w:val="105"/>
          <w:sz w:val="22"/>
        </w:rPr>
        <w:t> </w:t>
      </w:r>
      <w:r>
        <w:rPr>
          <w:w w:val="105"/>
          <w:sz w:val="22"/>
        </w:rPr>
        <w:t>&amp; Furnee, C. A.</w:t>
      </w:r>
      <w:r>
        <w:rPr>
          <w:spacing w:val="-12"/>
          <w:w w:val="105"/>
          <w:sz w:val="22"/>
        </w:rPr>
        <w:t> </w:t>
      </w:r>
      <w:r>
        <w:rPr>
          <w:w w:val="105"/>
          <w:sz w:val="22"/>
        </w:rPr>
        <w:t>(2002).</w:t>
      </w:r>
      <w:r>
        <w:rPr>
          <w:spacing w:val="-2"/>
          <w:w w:val="105"/>
          <w:sz w:val="22"/>
        </w:rPr>
        <w:t> </w:t>
      </w:r>
      <w:r>
        <w:rPr>
          <w:w w:val="105"/>
          <w:sz w:val="22"/>
        </w:rPr>
        <w:t>The impact of</w:t>
      </w:r>
      <w:r>
        <w:rPr>
          <w:spacing w:val="-11"/>
          <w:w w:val="105"/>
          <w:sz w:val="22"/>
        </w:rPr>
        <w:t> </w:t>
      </w:r>
      <w:r>
        <w:rPr>
          <w:w w:val="105"/>
          <w:sz w:val="22"/>
        </w:rPr>
        <w:t>chronic pain on life in the household. </w:t>
      </w:r>
      <w:r>
        <w:rPr>
          <w:i/>
          <w:w w:val="105"/>
          <w:sz w:val="22"/>
        </w:rPr>
        <w:t>Journal of Pain and Symptom Management, 23(5),</w:t>
      </w:r>
      <w:r>
        <w:rPr>
          <w:i/>
          <w:spacing w:val="-1"/>
          <w:w w:val="105"/>
          <w:sz w:val="22"/>
        </w:rPr>
        <w:t> </w:t>
      </w:r>
      <w:r>
        <w:rPr>
          <w:w w:val="105"/>
          <w:sz w:val="22"/>
        </w:rPr>
        <w:t>433-441.</w:t>
      </w:r>
    </w:p>
    <w:p>
      <w:pPr>
        <w:pStyle w:val="BodyText"/>
        <w:spacing w:before="9"/>
      </w:pPr>
    </w:p>
    <w:p>
      <w:pPr>
        <w:pStyle w:val="BodyText"/>
        <w:ind w:left="519"/>
      </w:pPr>
      <w:r>
        <w:rPr>
          <w:w w:val="105"/>
        </w:rPr>
        <w:t>Lawrence,</w:t>
      </w:r>
      <w:r>
        <w:rPr>
          <w:spacing w:val="15"/>
          <w:w w:val="105"/>
        </w:rPr>
        <w:t> </w:t>
      </w:r>
      <w:r>
        <w:rPr>
          <w:w w:val="105"/>
        </w:rPr>
        <w:t>R.</w:t>
      </w:r>
      <w:r>
        <w:rPr>
          <w:spacing w:val="-10"/>
          <w:w w:val="105"/>
        </w:rPr>
        <w:t> </w:t>
      </w:r>
      <w:r>
        <w:rPr>
          <w:w w:val="105"/>
        </w:rPr>
        <w:t>C.,</w:t>
      </w:r>
      <w:r>
        <w:rPr>
          <w:spacing w:val="-1"/>
          <w:w w:val="105"/>
        </w:rPr>
        <w:t> </w:t>
      </w:r>
      <w:r>
        <w:rPr>
          <w:w w:val="105"/>
        </w:rPr>
        <w:t>Felson,</w:t>
      </w:r>
      <w:r>
        <w:rPr>
          <w:spacing w:val="16"/>
          <w:w w:val="105"/>
        </w:rPr>
        <w:t> </w:t>
      </w:r>
      <w:r>
        <w:rPr>
          <w:w w:val="105"/>
        </w:rPr>
        <w:t>D.</w:t>
      </w:r>
      <w:r>
        <w:rPr>
          <w:spacing w:val="-10"/>
          <w:w w:val="105"/>
        </w:rPr>
        <w:t> </w:t>
      </w:r>
      <w:r>
        <w:rPr>
          <w:w w:val="105"/>
        </w:rPr>
        <w:t>T.,</w:t>
      </w:r>
      <w:r>
        <w:rPr>
          <w:spacing w:val="3"/>
          <w:w w:val="105"/>
        </w:rPr>
        <w:t> </w:t>
      </w:r>
      <w:r>
        <w:rPr>
          <w:w w:val="105"/>
        </w:rPr>
        <w:t>Helmick,</w:t>
      </w:r>
      <w:r>
        <w:rPr>
          <w:spacing w:val="10"/>
          <w:w w:val="105"/>
        </w:rPr>
        <w:t> </w:t>
      </w:r>
      <w:r>
        <w:rPr>
          <w:w w:val="105"/>
        </w:rPr>
        <w:t>C.</w:t>
      </w:r>
      <w:r>
        <w:rPr>
          <w:spacing w:val="-12"/>
          <w:w w:val="105"/>
        </w:rPr>
        <w:t> </w:t>
      </w:r>
      <w:r>
        <w:rPr>
          <w:w w:val="105"/>
        </w:rPr>
        <w:t>G.,</w:t>
      </w:r>
      <w:r>
        <w:rPr>
          <w:spacing w:val="1"/>
          <w:w w:val="105"/>
        </w:rPr>
        <w:t> </w:t>
      </w:r>
      <w:r>
        <w:rPr>
          <w:w w:val="105"/>
        </w:rPr>
        <w:t>Arnold,</w:t>
      </w:r>
      <w:r>
        <w:rPr>
          <w:spacing w:val="18"/>
          <w:w w:val="105"/>
        </w:rPr>
        <w:t> </w:t>
      </w:r>
      <w:r>
        <w:rPr>
          <w:w w:val="105"/>
        </w:rPr>
        <w:t>L. M.,</w:t>
      </w:r>
      <w:r>
        <w:rPr>
          <w:spacing w:val="-3"/>
          <w:w w:val="105"/>
        </w:rPr>
        <w:t> </w:t>
      </w:r>
      <w:r>
        <w:rPr>
          <w:w w:val="105"/>
        </w:rPr>
        <w:t>Choi,</w:t>
      </w:r>
      <w:r>
        <w:rPr>
          <w:spacing w:val="6"/>
          <w:w w:val="105"/>
        </w:rPr>
        <w:t> </w:t>
      </w:r>
      <w:r>
        <w:rPr>
          <w:w w:val="105"/>
        </w:rPr>
        <w:t>H.,</w:t>
      </w:r>
      <w:r>
        <w:rPr>
          <w:spacing w:val="4"/>
          <w:w w:val="105"/>
        </w:rPr>
        <w:t> </w:t>
      </w:r>
      <w:r>
        <w:rPr>
          <w:w w:val="105"/>
        </w:rPr>
        <w:t>Deyo,</w:t>
      </w:r>
      <w:r>
        <w:rPr>
          <w:spacing w:val="14"/>
          <w:w w:val="105"/>
        </w:rPr>
        <w:t> </w:t>
      </w:r>
      <w:r>
        <w:rPr>
          <w:w w:val="105"/>
        </w:rPr>
        <w:t>R.</w:t>
      </w:r>
      <w:r>
        <w:rPr>
          <w:spacing w:val="1"/>
          <w:w w:val="105"/>
        </w:rPr>
        <w:t> </w:t>
      </w:r>
      <w:r>
        <w:rPr>
          <w:w w:val="105"/>
        </w:rPr>
        <w:t>A.,</w:t>
      </w:r>
      <w:r>
        <w:rPr>
          <w:spacing w:val="11"/>
          <w:w w:val="105"/>
        </w:rPr>
        <w:t> </w:t>
      </w:r>
      <w:r>
        <w:rPr>
          <w:spacing w:val="-5"/>
          <w:w w:val="105"/>
        </w:rPr>
        <w:t>...</w:t>
      </w:r>
    </w:p>
    <w:p>
      <w:pPr>
        <w:pStyle w:val="BodyText"/>
        <w:spacing w:line="249" w:lineRule="auto" w:before="11"/>
        <w:ind w:left="934" w:right="149" w:firstLine="9"/>
      </w:pPr>
      <w:r>
        <w:rPr>
          <w:w w:val="105"/>
        </w:rPr>
        <w:t>Wolfe, F.</w:t>
      </w:r>
      <w:r>
        <w:rPr>
          <w:spacing w:val="-11"/>
          <w:w w:val="105"/>
        </w:rPr>
        <w:t> </w:t>
      </w:r>
      <w:r>
        <w:rPr>
          <w:w w:val="105"/>
        </w:rPr>
        <w:t>(2008). Estimates of</w:t>
      </w:r>
      <w:r>
        <w:rPr>
          <w:spacing w:val="-6"/>
          <w:w w:val="105"/>
        </w:rPr>
        <w:t> </w:t>
      </w:r>
      <w:r>
        <w:rPr>
          <w:w w:val="105"/>
        </w:rPr>
        <w:t>the prevalence of</w:t>
      </w:r>
      <w:r>
        <w:rPr>
          <w:spacing w:val="-2"/>
          <w:w w:val="105"/>
        </w:rPr>
        <w:t> </w:t>
      </w:r>
      <w:r>
        <w:rPr>
          <w:w w:val="105"/>
        </w:rPr>
        <w:t>arthritis and other rheumatic conditions in</w:t>
      </w:r>
      <w:r>
        <w:rPr>
          <w:spacing w:val="-9"/>
          <w:w w:val="105"/>
        </w:rPr>
        <w:t> </w:t>
      </w:r>
      <w:r>
        <w:rPr>
          <w:w w:val="105"/>
        </w:rPr>
        <w:t>the</w:t>
      </w:r>
      <w:r>
        <w:rPr>
          <w:spacing w:val="-3"/>
          <w:w w:val="105"/>
        </w:rPr>
        <w:t> </w:t>
      </w:r>
      <w:r>
        <w:rPr>
          <w:w w:val="105"/>
        </w:rPr>
        <w:t>United States: Part II.</w:t>
      </w:r>
      <w:r>
        <w:rPr>
          <w:spacing w:val="-10"/>
          <w:w w:val="105"/>
        </w:rPr>
        <w:t> </w:t>
      </w:r>
      <w:r>
        <w:rPr>
          <w:i/>
          <w:w w:val="105"/>
        </w:rPr>
        <w:t>Arthritis</w:t>
      </w:r>
      <w:r>
        <w:rPr>
          <w:i/>
          <w:spacing w:val="-2"/>
          <w:w w:val="105"/>
        </w:rPr>
        <w:t> </w:t>
      </w:r>
      <w:r>
        <w:rPr>
          <w:w w:val="105"/>
        </w:rPr>
        <w:t>&amp; </w:t>
      </w:r>
      <w:r>
        <w:rPr>
          <w:i/>
          <w:w w:val="105"/>
        </w:rPr>
        <w:t>Rheumatism,</w:t>
      </w:r>
      <w:r>
        <w:rPr>
          <w:i/>
          <w:spacing w:val="-3"/>
          <w:w w:val="105"/>
        </w:rPr>
        <w:t> </w:t>
      </w:r>
      <w:r>
        <w:rPr>
          <w:i/>
          <w:w w:val="105"/>
        </w:rPr>
        <w:t>58(1</w:t>
      </w:r>
      <w:r>
        <w:rPr>
          <w:i/>
          <w:spacing w:val="-30"/>
          <w:w w:val="105"/>
        </w:rPr>
        <w:t> </w:t>
      </w:r>
      <w:r>
        <w:rPr>
          <w:w w:val="105"/>
        </w:rPr>
        <w:t>),</w:t>
      </w:r>
      <w:r>
        <w:rPr>
          <w:spacing w:val="-3"/>
          <w:w w:val="105"/>
        </w:rPr>
        <w:t> </w:t>
      </w:r>
      <w:r>
        <w:rPr>
          <w:w w:val="105"/>
        </w:rPr>
        <w:t>26-35.</w:t>
      </w:r>
    </w:p>
    <w:p>
      <w:pPr>
        <w:pStyle w:val="BodyText"/>
        <w:spacing w:before="9"/>
      </w:pPr>
    </w:p>
    <w:p>
      <w:pPr>
        <w:pStyle w:val="BodyText"/>
        <w:spacing w:line="242" w:lineRule="auto"/>
        <w:ind w:left="934" w:right="118" w:hanging="406"/>
      </w:pPr>
      <w:r>
        <w:rPr>
          <w:w w:val="105"/>
        </w:rPr>
        <w:t>Lin, Y., Huang, L., Yeh, M. C., &amp; Tai, J. J. (2011). Leisure-time</w:t>
      </w:r>
      <w:r>
        <w:rPr>
          <w:spacing w:val="37"/>
          <w:w w:val="105"/>
        </w:rPr>
        <w:t> </w:t>
      </w:r>
      <w:r>
        <w:rPr>
          <w:w w:val="105"/>
        </w:rPr>
        <w:t>physical activities for community older people with chronic</w:t>
      </w:r>
      <w:r>
        <w:rPr>
          <w:spacing w:val="-2"/>
          <w:w w:val="105"/>
        </w:rPr>
        <w:t> </w:t>
      </w:r>
      <w:r>
        <w:rPr>
          <w:w w:val="105"/>
        </w:rPr>
        <w:t>diseases. </w:t>
      </w:r>
      <w:r>
        <w:rPr>
          <w:i/>
          <w:w w:val="105"/>
        </w:rPr>
        <w:t>Journal of</w:t>
      </w:r>
      <w:r>
        <w:rPr>
          <w:i/>
          <w:spacing w:val="-7"/>
          <w:w w:val="105"/>
        </w:rPr>
        <w:t> </w:t>
      </w:r>
      <w:r>
        <w:rPr>
          <w:i/>
          <w:w w:val="105"/>
        </w:rPr>
        <w:t>Clinical Nursing,</w:t>
      </w:r>
      <w:r>
        <w:rPr>
          <w:i/>
          <w:spacing w:val="-5"/>
          <w:w w:val="105"/>
        </w:rPr>
        <w:t> </w:t>
      </w:r>
      <w:r>
        <w:rPr>
          <w:w w:val="105"/>
        </w:rPr>
        <w:t>20(7-8), 940-949. doi:</w:t>
      </w:r>
      <w:r>
        <w:rPr>
          <w:spacing w:val="-15"/>
          <w:w w:val="105"/>
        </w:rPr>
        <w:t> </w:t>
      </w:r>
      <w:r>
        <w:rPr>
          <w:w w:val="105"/>
          <w:sz w:val="23"/>
        </w:rPr>
        <w:t>IO.</w:t>
      </w:r>
      <w:r>
        <w:rPr>
          <w:spacing w:val="-26"/>
          <w:w w:val="105"/>
          <w:sz w:val="23"/>
        </w:rPr>
        <w:t> </w:t>
      </w:r>
      <w:r>
        <w:rPr>
          <w:w w:val="105"/>
        </w:rPr>
        <w:t>l l l l/j.l</w:t>
      </w:r>
      <w:r>
        <w:rPr>
          <w:spacing w:val="-2"/>
          <w:w w:val="105"/>
        </w:rPr>
        <w:t> </w:t>
      </w:r>
      <w:r>
        <w:rPr>
          <w:w w:val="105"/>
        </w:rPr>
        <w:t>365-2702.2009.02877.x</w:t>
      </w:r>
    </w:p>
    <w:p>
      <w:pPr>
        <w:pStyle w:val="BodyText"/>
        <w:spacing w:before="12"/>
      </w:pPr>
    </w:p>
    <w:p>
      <w:pPr>
        <w:pStyle w:val="BodyText"/>
        <w:spacing w:line="249" w:lineRule="auto"/>
        <w:ind w:left="938" w:right="149" w:hanging="410"/>
      </w:pPr>
      <w:r>
        <w:rPr>
          <w:w w:val="105"/>
        </w:rPr>
        <w:t>Livingston, G., Watkin, V., Milne, B., Manela, M. V., &amp; Katona, C. (2000).</w:t>
      </w:r>
      <w:r>
        <w:rPr>
          <w:w w:val="105"/>
        </w:rPr>
        <w:t> Who becomes</w:t>
      </w:r>
      <w:r>
        <w:rPr>
          <w:spacing w:val="-2"/>
          <w:w w:val="105"/>
        </w:rPr>
        <w:t> </w:t>
      </w:r>
      <w:r>
        <w:rPr>
          <w:w w:val="105"/>
        </w:rPr>
        <w:t>depressed? The Islington community study</w:t>
      </w:r>
      <w:r>
        <w:rPr>
          <w:spacing w:val="-1"/>
          <w:w w:val="105"/>
        </w:rPr>
        <w:t> </w:t>
      </w:r>
      <w:r>
        <w:rPr>
          <w:w w:val="105"/>
        </w:rPr>
        <w:t>of</w:t>
      </w:r>
      <w:r>
        <w:rPr>
          <w:spacing w:val="-11"/>
          <w:w w:val="105"/>
        </w:rPr>
        <w:t> </w:t>
      </w:r>
      <w:r>
        <w:rPr>
          <w:w w:val="105"/>
        </w:rPr>
        <w:t>older people. </w:t>
      </w:r>
      <w:r>
        <w:rPr>
          <w:i/>
          <w:w w:val="105"/>
        </w:rPr>
        <w:t>Journal of</w:t>
      </w:r>
      <w:r>
        <w:rPr>
          <w:i/>
          <w:w w:val="105"/>
        </w:rPr>
        <w:t> Affective</w:t>
      </w:r>
      <w:r>
        <w:rPr>
          <w:i/>
          <w:spacing w:val="40"/>
          <w:w w:val="105"/>
        </w:rPr>
        <w:t> </w:t>
      </w:r>
      <w:r>
        <w:rPr>
          <w:i/>
          <w:w w:val="105"/>
        </w:rPr>
        <w:t>Disorders, </w:t>
      </w:r>
      <w:r>
        <w:rPr>
          <w:w w:val="105"/>
        </w:rPr>
        <w:t>58(2), 125-133.</w:t>
      </w:r>
    </w:p>
    <w:p>
      <w:pPr>
        <w:pStyle w:val="BodyText"/>
        <w:spacing w:before="5"/>
      </w:pPr>
    </w:p>
    <w:p>
      <w:pPr>
        <w:spacing w:line="247" w:lineRule="auto" w:before="0"/>
        <w:ind w:left="938" w:right="149" w:hanging="415"/>
        <w:jc w:val="left"/>
        <w:rPr>
          <w:sz w:val="22"/>
        </w:rPr>
      </w:pPr>
      <w:r>
        <w:rPr>
          <w:w w:val="105"/>
          <w:sz w:val="22"/>
        </w:rPr>
        <w:t>Lu,</w:t>
      </w:r>
      <w:r>
        <w:rPr>
          <w:spacing w:val="-5"/>
          <w:w w:val="105"/>
          <w:sz w:val="22"/>
        </w:rPr>
        <w:t> </w:t>
      </w:r>
      <w:r>
        <w:rPr>
          <w:w w:val="105"/>
          <w:sz w:val="22"/>
        </w:rPr>
        <w:t>L.</w:t>
      </w:r>
      <w:r>
        <w:rPr>
          <w:spacing w:val="-14"/>
          <w:w w:val="105"/>
          <w:sz w:val="22"/>
        </w:rPr>
        <w:t> </w:t>
      </w:r>
      <w:r>
        <w:rPr>
          <w:w w:val="105"/>
          <w:sz w:val="22"/>
        </w:rPr>
        <w:t>(2011).</w:t>
      </w:r>
      <w:r>
        <w:rPr>
          <w:spacing w:val="-8"/>
          <w:w w:val="105"/>
          <w:sz w:val="22"/>
        </w:rPr>
        <w:t> </w:t>
      </w:r>
      <w:r>
        <w:rPr>
          <w:w w:val="105"/>
          <w:sz w:val="22"/>
        </w:rPr>
        <w:t>Leisure and depression</w:t>
      </w:r>
      <w:r>
        <w:rPr>
          <w:spacing w:val="18"/>
          <w:w w:val="105"/>
          <w:sz w:val="22"/>
        </w:rPr>
        <w:t> </w:t>
      </w:r>
      <w:r>
        <w:rPr>
          <w:w w:val="105"/>
          <w:sz w:val="22"/>
        </w:rPr>
        <w:t>in midlife: A</w:t>
      </w:r>
      <w:r>
        <w:rPr>
          <w:spacing w:val="-5"/>
          <w:w w:val="105"/>
          <w:sz w:val="22"/>
        </w:rPr>
        <w:t> </w:t>
      </w:r>
      <w:r>
        <w:rPr>
          <w:w w:val="105"/>
          <w:sz w:val="22"/>
        </w:rPr>
        <w:t>taiwanese</w:t>
      </w:r>
      <w:r>
        <w:rPr>
          <w:w w:val="105"/>
          <w:sz w:val="22"/>
        </w:rPr>
        <w:t> national survey</w:t>
      </w:r>
      <w:r>
        <w:rPr>
          <w:spacing w:val="-2"/>
          <w:w w:val="105"/>
          <w:sz w:val="22"/>
        </w:rPr>
        <w:t> </w:t>
      </w:r>
      <w:r>
        <w:rPr>
          <w:w w:val="105"/>
          <w:sz w:val="22"/>
        </w:rPr>
        <w:t>of</w:t>
      </w:r>
      <w:r>
        <w:rPr>
          <w:spacing w:val="-2"/>
          <w:w w:val="105"/>
          <w:sz w:val="22"/>
        </w:rPr>
        <w:t> </w:t>
      </w:r>
      <w:r>
        <w:rPr>
          <w:w w:val="105"/>
          <w:sz w:val="22"/>
        </w:rPr>
        <w:t>middle­ aged adults. </w:t>
      </w:r>
      <w:r>
        <w:rPr>
          <w:i/>
          <w:w w:val="105"/>
          <w:sz w:val="22"/>
        </w:rPr>
        <w:t>Journal of Health Psychology, 16(1), </w:t>
      </w:r>
      <w:r>
        <w:rPr>
          <w:w w:val="105"/>
          <w:sz w:val="22"/>
        </w:rPr>
        <w:t>137-147.</w:t>
      </w:r>
    </w:p>
    <w:p>
      <w:pPr>
        <w:pStyle w:val="BodyText"/>
        <w:spacing w:line="251" w:lineRule="exact"/>
        <w:ind w:left="939"/>
      </w:pPr>
      <w:r>
        <w:rPr>
          <w:spacing w:val="-2"/>
          <w:w w:val="105"/>
        </w:rPr>
        <w:t>doi:</w:t>
      </w:r>
      <w:r>
        <w:rPr>
          <w:spacing w:val="-26"/>
          <w:w w:val="105"/>
        </w:rPr>
        <w:t> </w:t>
      </w:r>
      <w:r>
        <w:rPr>
          <w:spacing w:val="-2"/>
          <w:w w:val="105"/>
        </w:rPr>
        <w:t>l</w:t>
      </w:r>
      <w:r>
        <w:rPr>
          <w:spacing w:val="-27"/>
          <w:w w:val="105"/>
        </w:rPr>
        <w:t> </w:t>
      </w:r>
      <w:r>
        <w:rPr>
          <w:spacing w:val="-2"/>
          <w:w w:val="105"/>
        </w:rPr>
        <w:t>0.1177/1359105310370501</w:t>
      </w:r>
    </w:p>
    <w:p>
      <w:pPr>
        <w:pStyle w:val="BodyText"/>
        <w:spacing w:before="13"/>
      </w:pPr>
    </w:p>
    <w:p>
      <w:pPr>
        <w:spacing w:line="249" w:lineRule="auto" w:before="0"/>
        <w:ind w:left="943" w:right="149" w:hanging="414"/>
        <w:jc w:val="left"/>
        <w:rPr>
          <w:sz w:val="22"/>
        </w:rPr>
      </w:pPr>
      <w:r>
        <w:rPr>
          <w:w w:val="105"/>
          <w:sz w:val="22"/>
        </w:rPr>
        <w:t>Mannerkorpi,</w:t>
      </w:r>
      <w:r>
        <w:rPr>
          <w:w w:val="105"/>
          <w:sz w:val="22"/>
        </w:rPr>
        <w:t> K., Kroksmark, T.,</w:t>
      </w:r>
      <w:r>
        <w:rPr>
          <w:spacing w:val="-6"/>
          <w:w w:val="105"/>
          <w:sz w:val="22"/>
        </w:rPr>
        <w:t> </w:t>
      </w:r>
      <w:r>
        <w:rPr>
          <w:w w:val="105"/>
          <w:sz w:val="22"/>
        </w:rPr>
        <w:t>&amp; Ekdahl, C. (1999). How patients with fibromyalgia experience their</w:t>
      </w:r>
      <w:r>
        <w:rPr>
          <w:spacing w:val="-3"/>
          <w:w w:val="105"/>
          <w:sz w:val="22"/>
        </w:rPr>
        <w:t> </w:t>
      </w:r>
      <w:r>
        <w:rPr>
          <w:w w:val="105"/>
          <w:sz w:val="22"/>
        </w:rPr>
        <w:t>symptoms in everyday</w:t>
      </w:r>
      <w:r>
        <w:rPr>
          <w:w w:val="105"/>
          <w:sz w:val="22"/>
        </w:rPr>
        <w:t> life. </w:t>
      </w:r>
      <w:r>
        <w:rPr>
          <w:i/>
          <w:w w:val="105"/>
          <w:sz w:val="22"/>
        </w:rPr>
        <w:t>Physiotherapy</w:t>
      </w:r>
      <w:r>
        <w:rPr>
          <w:i/>
          <w:w w:val="105"/>
          <w:sz w:val="22"/>
        </w:rPr>
        <w:t> Research International,</w:t>
      </w:r>
      <w:r>
        <w:rPr>
          <w:i/>
          <w:w w:val="105"/>
          <w:sz w:val="22"/>
        </w:rPr>
        <w:t> </w:t>
      </w:r>
      <w:r>
        <w:rPr>
          <w:w w:val="105"/>
          <w:sz w:val="22"/>
        </w:rPr>
        <w:t>4(2), 110-122.</w:t>
      </w:r>
    </w:p>
    <w:p>
      <w:pPr>
        <w:pStyle w:val="BodyText"/>
        <w:spacing w:before="6"/>
      </w:pPr>
    </w:p>
    <w:p>
      <w:pPr>
        <w:pStyle w:val="BodyText"/>
        <w:ind w:left="525"/>
      </w:pPr>
      <w:r>
        <w:rPr>
          <w:w w:val="105"/>
        </w:rPr>
        <w:t>McBeth,</w:t>
      </w:r>
      <w:r>
        <w:rPr>
          <w:spacing w:val="7"/>
          <w:w w:val="105"/>
        </w:rPr>
        <w:t> </w:t>
      </w:r>
      <w:r>
        <w:rPr>
          <w:w w:val="105"/>
        </w:rPr>
        <w:t>J.,</w:t>
      </w:r>
      <w:r>
        <w:rPr>
          <w:spacing w:val="-6"/>
          <w:w w:val="105"/>
        </w:rPr>
        <w:t> </w:t>
      </w:r>
      <w:r>
        <w:rPr>
          <w:w w:val="105"/>
        </w:rPr>
        <w:t>&amp;</w:t>
      </w:r>
      <w:r>
        <w:rPr>
          <w:spacing w:val="-12"/>
          <w:w w:val="105"/>
        </w:rPr>
        <w:t> </w:t>
      </w:r>
      <w:r>
        <w:rPr>
          <w:w w:val="105"/>
        </w:rPr>
        <w:t>Silman,</w:t>
      </w:r>
      <w:r>
        <w:rPr>
          <w:spacing w:val="8"/>
          <w:w w:val="105"/>
        </w:rPr>
        <w:t> </w:t>
      </w:r>
      <w:r>
        <w:rPr>
          <w:w w:val="105"/>
        </w:rPr>
        <w:t>A.</w:t>
      </w:r>
      <w:r>
        <w:rPr>
          <w:spacing w:val="-3"/>
          <w:w w:val="105"/>
        </w:rPr>
        <w:t> </w:t>
      </w:r>
      <w:r>
        <w:rPr>
          <w:w w:val="105"/>
        </w:rPr>
        <w:t>J.</w:t>
      </w:r>
      <w:r>
        <w:rPr>
          <w:spacing w:val="6"/>
          <w:w w:val="105"/>
        </w:rPr>
        <w:t> </w:t>
      </w:r>
      <w:r>
        <w:rPr>
          <w:w w:val="105"/>
        </w:rPr>
        <w:t>(2001).</w:t>
      </w:r>
      <w:r>
        <w:rPr>
          <w:spacing w:val="-9"/>
          <w:w w:val="105"/>
        </w:rPr>
        <w:t> </w:t>
      </w:r>
      <w:r>
        <w:rPr>
          <w:w w:val="105"/>
        </w:rPr>
        <w:t>The</w:t>
      </w:r>
      <w:r>
        <w:rPr>
          <w:spacing w:val="3"/>
          <w:w w:val="105"/>
        </w:rPr>
        <w:t> </w:t>
      </w:r>
      <w:r>
        <w:rPr>
          <w:w w:val="105"/>
        </w:rPr>
        <w:t>role</w:t>
      </w:r>
      <w:r>
        <w:rPr>
          <w:spacing w:val="-6"/>
          <w:w w:val="105"/>
        </w:rPr>
        <w:t> </w:t>
      </w:r>
      <w:r>
        <w:rPr>
          <w:w w:val="105"/>
        </w:rPr>
        <w:t>of</w:t>
      </w:r>
      <w:r>
        <w:rPr>
          <w:spacing w:val="13"/>
          <w:w w:val="105"/>
        </w:rPr>
        <w:t> </w:t>
      </w:r>
      <w:r>
        <w:rPr>
          <w:w w:val="105"/>
        </w:rPr>
        <w:t>psychiatric</w:t>
      </w:r>
      <w:r>
        <w:rPr>
          <w:spacing w:val="2"/>
          <w:w w:val="105"/>
        </w:rPr>
        <w:t> </w:t>
      </w:r>
      <w:r>
        <w:rPr>
          <w:w w:val="105"/>
        </w:rPr>
        <w:t>disorders</w:t>
      </w:r>
      <w:r>
        <w:rPr>
          <w:spacing w:val="9"/>
          <w:w w:val="105"/>
        </w:rPr>
        <w:t> </w:t>
      </w:r>
      <w:r>
        <w:rPr>
          <w:w w:val="105"/>
        </w:rPr>
        <w:t>in</w:t>
      </w:r>
      <w:r>
        <w:rPr>
          <w:spacing w:val="7"/>
          <w:w w:val="105"/>
        </w:rPr>
        <w:t> </w:t>
      </w:r>
      <w:r>
        <w:rPr>
          <w:spacing w:val="-2"/>
          <w:w w:val="105"/>
        </w:rPr>
        <w:t>fibromyalgia.</w:t>
      </w:r>
    </w:p>
    <w:p>
      <w:pPr>
        <w:spacing w:before="6"/>
        <w:ind w:left="936" w:right="0" w:firstLine="0"/>
        <w:jc w:val="left"/>
        <w:rPr>
          <w:sz w:val="22"/>
        </w:rPr>
      </w:pPr>
      <w:r>
        <w:rPr>
          <w:i/>
          <w:w w:val="105"/>
          <w:sz w:val="22"/>
        </w:rPr>
        <w:t>Current</w:t>
      </w:r>
      <w:r>
        <w:rPr>
          <w:i/>
          <w:spacing w:val="11"/>
          <w:w w:val="105"/>
          <w:sz w:val="22"/>
        </w:rPr>
        <w:t> </w:t>
      </w:r>
      <w:r>
        <w:rPr>
          <w:i/>
          <w:w w:val="105"/>
          <w:sz w:val="22"/>
        </w:rPr>
        <w:t>Rheumatology</w:t>
      </w:r>
      <w:r>
        <w:rPr>
          <w:i/>
          <w:spacing w:val="23"/>
          <w:w w:val="105"/>
          <w:sz w:val="22"/>
        </w:rPr>
        <w:t> </w:t>
      </w:r>
      <w:r>
        <w:rPr>
          <w:i/>
          <w:w w:val="105"/>
          <w:sz w:val="22"/>
        </w:rPr>
        <w:t>Reports,</w:t>
      </w:r>
      <w:r>
        <w:rPr>
          <w:i/>
          <w:spacing w:val="-11"/>
          <w:w w:val="105"/>
          <w:sz w:val="22"/>
        </w:rPr>
        <w:t> </w:t>
      </w:r>
      <w:r>
        <w:rPr>
          <w:i/>
          <w:w w:val="105"/>
          <w:sz w:val="22"/>
        </w:rPr>
        <w:t>3(2),</w:t>
      </w:r>
      <w:r>
        <w:rPr>
          <w:i/>
          <w:spacing w:val="-13"/>
          <w:w w:val="105"/>
          <w:sz w:val="22"/>
        </w:rPr>
        <w:t> </w:t>
      </w:r>
      <w:r>
        <w:rPr>
          <w:w w:val="105"/>
          <w:sz w:val="22"/>
        </w:rPr>
        <w:t>157-</w:t>
      </w:r>
      <w:r>
        <w:rPr>
          <w:spacing w:val="-4"/>
          <w:w w:val="105"/>
          <w:sz w:val="22"/>
        </w:rPr>
        <w:t>164.</w:t>
      </w:r>
    </w:p>
    <w:p>
      <w:pPr>
        <w:pStyle w:val="BodyText"/>
        <w:spacing w:before="13"/>
      </w:pPr>
    </w:p>
    <w:p>
      <w:pPr>
        <w:pStyle w:val="BodyText"/>
        <w:spacing w:line="249" w:lineRule="auto"/>
        <w:ind w:left="944" w:right="149" w:hanging="415"/>
      </w:pPr>
      <w:r>
        <w:rPr>
          <w:w w:val="105"/>
        </w:rPr>
        <w:t>McCain, G.</w:t>
      </w:r>
      <w:r>
        <w:rPr>
          <w:spacing w:val="-5"/>
          <w:w w:val="105"/>
        </w:rPr>
        <w:t> </w:t>
      </w:r>
      <w:r>
        <w:rPr>
          <w:w w:val="105"/>
        </w:rPr>
        <w:t>A., Bell,</w:t>
      </w:r>
      <w:r>
        <w:rPr>
          <w:spacing w:val="-1"/>
          <w:w w:val="105"/>
        </w:rPr>
        <w:t> </w:t>
      </w:r>
      <w:r>
        <w:rPr>
          <w:w w:val="105"/>
        </w:rPr>
        <w:t>D.</w:t>
      </w:r>
      <w:r>
        <w:rPr>
          <w:spacing w:val="-3"/>
          <w:w w:val="105"/>
        </w:rPr>
        <w:t> </w:t>
      </w:r>
      <w:r>
        <w:rPr>
          <w:w w:val="105"/>
        </w:rPr>
        <w:t>A., Mai, F. M.,</w:t>
      </w:r>
      <w:r>
        <w:rPr>
          <w:spacing w:val="-2"/>
          <w:w w:val="105"/>
        </w:rPr>
        <w:t> </w:t>
      </w:r>
      <w:r>
        <w:rPr>
          <w:w w:val="105"/>
        </w:rPr>
        <w:t>&amp; Halliday, P. D.</w:t>
      </w:r>
      <w:r>
        <w:rPr>
          <w:spacing w:val="-6"/>
          <w:w w:val="105"/>
        </w:rPr>
        <w:t> </w:t>
      </w:r>
      <w:r>
        <w:rPr>
          <w:w w:val="105"/>
        </w:rPr>
        <w:t>(1988). A</w:t>
      </w:r>
      <w:r>
        <w:rPr>
          <w:spacing w:val="-1"/>
          <w:w w:val="105"/>
        </w:rPr>
        <w:t> </w:t>
      </w:r>
      <w:r>
        <w:rPr>
          <w:w w:val="105"/>
        </w:rPr>
        <w:t>controlled-study</w:t>
      </w:r>
      <w:r>
        <w:rPr>
          <w:spacing w:val="-15"/>
          <w:w w:val="105"/>
        </w:rPr>
        <w:t> </w:t>
      </w:r>
      <w:r>
        <w:rPr>
          <w:w w:val="105"/>
        </w:rPr>
        <w:t>of the effects of a supervised cardiovascular fitness training-program on the manifestations</w:t>
      </w:r>
      <w:r>
        <w:rPr>
          <w:spacing w:val="-6"/>
          <w:w w:val="105"/>
        </w:rPr>
        <w:t> </w:t>
      </w:r>
      <w:r>
        <w:rPr>
          <w:w w:val="105"/>
        </w:rPr>
        <w:t>of primary fibromyalgia. </w:t>
      </w:r>
      <w:r>
        <w:rPr>
          <w:i/>
          <w:w w:val="105"/>
        </w:rPr>
        <w:t>Arthritis and Rheumatism, 31(9), </w:t>
      </w:r>
      <w:r>
        <w:rPr>
          <w:w w:val="105"/>
        </w:rPr>
        <w:t>1135- </w:t>
      </w:r>
      <w:r>
        <w:rPr>
          <w:spacing w:val="-4"/>
          <w:w w:val="105"/>
        </w:rPr>
        <w:t>1141.</w:t>
      </w:r>
    </w:p>
    <w:p>
      <w:pPr>
        <w:pStyle w:val="BodyText"/>
        <w:spacing w:before="2"/>
      </w:pPr>
    </w:p>
    <w:p>
      <w:pPr>
        <w:spacing w:line="249" w:lineRule="auto" w:before="0"/>
        <w:ind w:left="951" w:right="149" w:hanging="426"/>
        <w:jc w:val="left"/>
        <w:rPr>
          <w:sz w:val="22"/>
        </w:rPr>
      </w:pPr>
      <w:r>
        <w:rPr>
          <w:w w:val="105"/>
          <w:sz w:val="22"/>
        </w:rPr>
        <w:t>Natvig, B.,</w:t>
      </w:r>
      <w:r>
        <w:rPr>
          <w:spacing w:val="-1"/>
          <w:w w:val="105"/>
          <w:sz w:val="22"/>
        </w:rPr>
        <w:t> </w:t>
      </w:r>
      <w:r>
        <w:rPr>
          <w:w w:val="105"/>
          <w:sz w:val="22"/>
        </w:rPr>
        <w:t>Bruusgaard,</w:t>
      </w:r>
      <w:r>
        <w:rPr>
          <w:spacing w:val="15"/>
          <w:w w:val="105"/>
          <w:sz w:val="22"/>
        </w:rPr>
        <w:t> </w:t>
      </w:r>
      <w:r>
        <w:rPr>
          <w:w w:val="105"/>
          <w:sz w:val="22"/>
        </w:rPr>
        <w:t>D.,</w:t>
      </w:r>
      <w:r>
        <w:rPr>
          <w:spacing w:val="-8"/>
          <w:w w:val="105"/>
          <w:sz w:val="22"/>
        </w:rPr>
        <w:t> </w:t>
      </w:r>
      <w:r>
        <w:rPr>
          <w:w w:val="105"/>
          <w:sz w:val="22"/>
        </w:rPr>
        <w:t>&amp;</w:t>
      </w:r>
      <w:r>
        <w:rPr>
          <w:spacing w:val="-3"/>
          <w:w w:val="105"/>
          <w:sz w:val="22"/>
        </w:rPr>
        <w:t> </w:t>
      </w:r>
      <w:r>
        <w:rPr>
          <w:w w:val="105"/>
          <w:sz w:val="22"/>
        </w:rPr>
        <w:t>Eriksen,</w:t>
      </w:r>
      <w:r>
        <w:rPr>
          <w:w w:val="105"/>
          <w:sz w:val="22"/>
        </w:rPr>
        <w:t> W.</w:t>
      </w:r>
      <w:r>
        <w:rPr>
          <w:spacing w:val="-15"/>
          <w:w w:val="105"/>
          <w:sz w:val="22"/>
        </w:rPr>
        <w:t> </w:t>
      </w:r>
      <w:r>
        <w:rPr>
          <w:w w:val="105"/>
          <w:sz w:val="22"/>
        </w:rPr>
        <w:t>(1998). Physical</w:t>
      </w:r>
      <w:r>
        <w:rPr>
          <w:w w:val="105"/>
          <w:sz w:val="22"/>
        </w:rPr>
        <w:t> leisure</w:t>
      </w:r>
      <w:r>
        <w:rPr>
          <w:spacing w:val="-4"/>
          <w:w w:val="105"/>
          <w:sz w:val="22"/>
        </w:rPr>
        <w:t> </w:t>
      </w:r>
      <w:r>
        <w:rPr>
          <w:w w:val="105"/>
          <w:sz w:val="22"/>
        </w:rPr>
        <w:t>activity</w:t>
      </w:r>
      <w:r>
        <w:rPr>
          <w:w w:val="105"/>
          <w:sz w:val="22"/>
        </w:rPr>
        <w:t> level</w:t>
      </w:r>
      <w:r>
        <w:rPr>
          <w:spacing w:val="-4"/>
          <w:w w:val="105"/>
          <w:sz w:val="22"/>
        </w:rPr>
        <w:t> </w:t>
      </w:r>
      <w:r>
        <w:rPr>
          <w:w w:val="105"/>
          <w:sz w:val="22"/>
        </w:rPr>
        <w:t>and physical</w:t>
      </w:r>
      <w:r>
        <w:rPr>
          <w:w w:val="105"/>
          <w:sz w:val="22"/>
        </w:rPr>
        <w:t> fitness among women with fibromyalgia. </w:t>
      </w:r>
      <w:r>
        <w:rPr>
          <w:i/>
          <w:w w:val="105"/>
          <w:sz w:val="22"/>
        </w:rPr>
        <w:t>Scandinavian Journal of</w:t>
      </w:r>
      <w:r>
        <w:rPr>
          <w:i/>
          <w:w w:val="105"/>
          <w:sz w:val="22"/>
        </w:rPr>
        <w:t> Rheumato/ogy, 27(5), </w:t>
      </w:r>
      <w:r>
        <w:rPr>
          <w:w w:val="105"/>
          <w:sz w:val="22"/>
        </w:rPr>
        <w:t>337-341.</w:t>
      </w:r>
    </w:p>
    <w:p>
      <w:pPr>
        <w:pStyle w:val="BodyText"/>
        <w:spacing w:before="4"/>
      </w:pPr>
    </w:p>
    <w:p>
      <w:pPr>
        <w:spacing w:line="247" w:lineRule="auto" w:before="1"/>
        <w:ind w:left="944" w:right="149" w:hanging="425"/>
        <w:jc w:val="left"/>
        <w:rPr>
          <w:sz w:val="22"/>
        </w:rPr>
      </w:pPr>
      <w:r>
        <w:rPr>
          <w:w w:val="105"/>
          <w:sz w:val="22"/>
        </w:rPr>
        <w:t>Ohayon, </w:t>
      </w:r>
      <w:r>
        <w:rPr>
          <w:rFonts w:ascii="Arial"/>
          <w:b/>
          <w:w w:val="105"/>
          <w:sz w:val="22"/>
        </w:rPr>
        <w:t>M. M.</w:t>
      </w:r>
      <w:r>
        <w:rPr>
          <w:rFonts w:ascii="Arial"/>
          <w:b/>
          <w:spacing w:val="-12"/>
          <w:w w:val="105"/>
          <w:sz w:val="22"/>
        </w:rPr>
        <w:t> </w:t>
      </w:r>
      <w:r>
        <w:rPr>
          <w:w w:val="105"/>
          <w:sz w:val="22"/>
        </w:rPr>
        <w:t>(2004).</w:t>
      </w:r>
      <w:r>
        <w:rPr>
          <w:spacing w:val="-4"/>
          <w:w w:val="105"/>
          <w:sz w:val="22"/>
        </w:rPr>
        <w:t> </w:t>
      </w:r>
      <w:r>
        <w:rPr>
          <w:w w:val="105"/>
          <w:sz w:val="22"/>
        </w:rPr>
        <w:t>Specific characteristics</w:t>
      </w:r>
      <w:r>
        <w:rPr>
          <w:spacing w:val="-14"/>
          <w:w w:val="105"/>
          <w:sz w:val="22"/>
        </w:rPr>
        <w:t> </w:t>
      </w:r>
      <w:r>
        <w:rPr>
          <w:w w:val="105"/>
          <w:sz w:val="22"/>
        </w:rPr>
        <w:t>of</w:t>
      </w:r>
      <w:r>
        <w:rPr>
          <w:spacing w:val="-1"/>
          <w:w w:val="105"/>
          <w:sz w:val="22"/>
        </w:rPr>
        <w:t> </w:t>
      </w:r>
      <w:r>
        <w:rPr>
          <w:w w:val="105"/>
          <w:sz w:val="22"/>
        </w:rPr>
        <w:t>the pain/depression association</w:t>
      </w:r>
      <w:r>
        <w:rPr>
          <w:spacing w:val="22"/>
          <w:w w:val="105"/>
          <w:sz w:val="22"/>
        </w:rPr>
        <w:t> </w:t>
      </w:r>
      <w:r>
        <w:rPr>
          <w:w w:val="105"/>
          <w:sz w:val="22"/>
        </w:rPr>
        <w:t>in the general</w:t>
      </w:r>
      <w:r>
        <w:rPr>
          <w:spacing w:val="40"/>
          <w:w w:val="105"/>
          <w:sz w:val="22"/>
        </w:rPr>
        <w:t> </w:t>
      </w:r>
      <w:r>
        <w:rPr>
          <w:w w:val="105"/>
          <w:sz w:val="22"/>
        </w:rPr>
        <w:t>population. </w:t>
      </w:r>
      <w:r>
        <w:rPr>
          <w:i/>
          <w:w w:val="105"/>
          <w:sz w:val="22"/>
        </w:rPr>
        <w:t>Journal of Clinical Psychiatry, </w:t>
      </w:r>
      <w:r>
        <w:rPr>
          <w:w w:val="105"/>
          <w:sz w:val="22"/>
        </w:rPr>
        <w:t>65(Suppll2), 5-9.</w:t>
      </w:r>
    </w:p>
    <w:p>
      <w:pPr>
        <w:pStyle w:val="BodyText"/>
        <w:spacing w:before="9"/>
      </w:pPr>
    </w:p>
    <w:p>
      <w:pPr>
        <w:pStyle w:val="BodyText"/>
        <w:ind w:left="534"/>
      </w:pPr>
      <w:r>
        <w:rPr>
          <w:w w:val="105"/>
        </w:rPr>
        <w:t>Palomino,</w:t>
      </w:r>
      <w:r>
        <w:rPr>
          <w:spacing w:val="14"/>
          <w:w w:val="105"/>
        </w:rPr>
        <w:t> </w:t>
      </w:r>
      <w:r>
        <w:rPr>
          <w:w w:val="105"/>
        </w:rPr>
        <w:t>R.</w:t>
      </w:r>
      <w:r>
        <w:rPr>
          <w:spacing w:val="-11"/>
          <w:w w:val="105"/>
        </w:rPr>
        <w:t> </w:t>
      </w:r>
      <w:r>
        <w:rPr>
          <w:w w:val="105"/>
        </w:rPr>
        <w:t>A.,</w:t>
      </w:r>
      <w:r>
        <w:rPr>
          <w:spacing w:val="2"/>
          <w:w w:val="105"/>
        </w:rPr>
        <w:t> </w:t>
      </w:r>
      <w:r>
        <w:rPr>
          <w:w w:val="105"/>
        </w:rPr>
        <w:t>Nicassio,</w:t>
      </w:r>
      <w:r>
        <w:rPr>
          <w:spacing w:val="10"/>
          <w:w w:val="105"/>
        </w:rPr>
        <w:t> </w:t>
      </w:r>
      <w:r>
        <w:rPr>
          <w:w w:val="105"/>
        </w:rPr>
        <w:t>P.</w:t>
      </w:r>
      <w:r>
        <w:rPr>
          <w:spacing w:val="-5"/>
          <w:w w:val="105"/>
        </w:rPr>
        <w:t> </w:t>
      </w:r>
      <w:r>
        <w:rPr>
          <w:w w:val="105"/>
        </w:rPr>
        <w:t>M.,</w:t>
      </w:r>
      <w:r>
        <w:rPr>
          <w:spacing w:val="-7"/>
          <w:w w:val="105"/>
        </w:rPr>
        <w:t> </w:t>
      </w:r>
      <w:r>
        <w:rPr>
          <w:w w:val="105"/>
        </w:rPr>
        <w:t>Greenberg,</w:t>
      </w:r>
      <w:r>
        <w:rPr>
          <w:spacing w:val="18"/>
          <w:w w:val="105"/>
        </w:rPr>
        <w:t> </w:t>
      </w:r>
      <w:r>
        <w:rPr>
          <w:w w:val="105"/>
        </w:rPr>
        <w:t>M.</w:t>
      </w:r>
      <w:r>
        <w:rPr>
          <w:spacing w:val="-7"/>
          <w:w w:val="105"/>
        </w:rPr>
        <w:t> </w:t>
      </w:r>
      <w:r>
        <w:rPr>
          <w:w w:val="105"/>
        </w:rPr>
        <w:t>A.,</w:t>
      </w:r>
      <w:r>
        <w:rPr>
          <w:spacing w:val="-7"/>
          <w:w w:val="105"/>
        </w:rPr>
        <w:t> </w:t>
      </w:r>
      <w:r>
        <w:rPr>
          <w:w w:val="105"/>
        </w:rPr>
        <w:t>&amp;</w:t>
      </w:r>
      <w:r>
        <w:rPr>
          <w:spacing w:val="4"/>
          <w:w w:val="105"/>
        </w:rPr>
        <w:t> </w:t>
      </w:r>
      <w:r>
        <w:rPr>
          <w:w w:val="105"/>
        </w:rPr>
        <w:t>Medina,</w:t>
      </w:r>
      <w:r>
        <w:rPr>
          <w:spacing w:val="18"/>
          <w:w w:val="105"/>
        </w:rPr>
        <w:t> </w:t>
      </w:r>
      <w:r>
        <w:rPr>
          <w:w w:val="105"/>
        </w:rPr>
        <w:t>E. P.</w:t>
      </w:r>
      <w:r>
        <w:rPr>
          <w:spacing w:val="-9"/>
          <w:w w:val="105"/>
        </w:rPr>
        <w:t> </w:t>
      </w:r>
      <w:r>
        <w:rPr>
          <w:spacing w:val="-2"/>
          <w:w w:val="105"/>
        </w:rPr>
        <w:t>(2007).</w:t>
      </w:r>
    </w:p>
    <w:p>
      <w:pPr>
        <w:pStyle w:val="BodyText"/>
        <w:spacing w:line="247" w:lineRule="auto" w:before="6"/>
        <w:ind w:left="947" w:right="149" w:firstLine="4"/>
      </w:pPr>
      <w:r>
        <w:rPr>
          <w:w w:val="105"/>
        </w:rPr>
        <w:t>Helplessness and loss</w:t>
      </w:r>
      <w:r>
        <w:rPr>
          <w:spacing w:val="-15"/>
          <w:w w:val="105"/>
        </w:rPr>
        <w:t> </w:t>
      </w:r>
      <w:r>
        <w:rPr>
          <w:w w:val="105"/>
        </w:rPr>
        <w:t>as mediators between pain</w:t>
      </w:r>
      <w:r>
        <w:rPr>
          <w:spacing w:val="-2"/>
          <w:w w:val="105"/>
        </w:rPr>
        <w:t> </w:t>
      </w:r>
      <w:r>
        <w:rPr>
          <w:w w:val="105"/>
        </w:rPr>
        <w:t>and</w:t>
      </w:r>
      <w:r>
        <w:rPr>
          <w:spacing w:val="-4"/>
          <w:w w:val="105"/>
        </w:rPr>
        <w:t> </w:t>
      </w:r>
      <w:r>
        <w:rPr>
          <w:w w:val="105"/>
        </w:rPr>
        <w:t>depressive</w:t>
      </w:r>
      <w:r>
        <w:rPr>
          <w:spacing w:val="-1"/>
          <w:w w:val="105"/>
        </w:rPr>
        <w:t> </w:t>
      </w:r>
      <w:r>
        <w:rPr>
          <w:w w:val="105"/>
        </w:rPr>
        <w:t>symptoms in fibromyalgia.</w:t>
      </w:r>
      <w:r>
        <w:rPr>
          <w:spacing w:val="40"/>
          <w:w w:val="105"/>
        </w:rPr>
        <w:t> </w:t>
      </w:r>
      <w:r>
        <w:rPr>
          <w:i/>
          <w:w w:val="105"/>
        </w:rPr>
        <w:t>Pain, 129( </w:t>
      </w:r>
      <w:r>
        <w:rPr>
          <w:w w:val="105"/>
        </w:rPr>
        <w:t>1-2), 185-194.</w:t>
      </w:r>
    </w:p>
    <w:p>
      <w:pPr>
        <w:pStyle w:val="BodyText"/>
        <w:spacing w:before="10"/>
      </w:pPr>
    </w:p>
    <w:p>
      <w:pPr>
        <w:pStyle w:val="BodyText"/>
        <w:spacing w:line="247" w:lineRule="auto"/>
        <w:ind w:left="953" w:right="149" w:hanging="419"/>
      </w:pPr>
      <w:r>
        <w:rPr>
          <w:w w:val="105"/>
        </w:rPr>
        <w:t>Penninx, B. W.</w:t>
      </w:r>
      <w:r>
        <w:rPr>
          <w:spacing w:val="-7"/>
          <w:w w:val="105"/>
        </w:rPr>
        <w:t> </w:t>
      </w:r>
      <w:r>
        <w:rPr>
          <w:w w:val="105"/>
        </w:rPr>
        <w:t>J. H.,</w:t>
      </w:r>
      <w:r>
        <w:rPr>
          <w:spacing w:val="-2"/>
          <w:w w:val="105"/>
        </w:rPr>
        <w:t> </w:t>
      </w:r>
      <w:r>
        <w:rPr>
          <w:w w:val="105"/>
        </w:rPr>
        <w:t>Guralnik, J.M., Ferrucci, L.,</w:t>
      </w:r>
      <w:r>
        <w:rPr>
          <w:spacing w:val="40"/>
          <w:w w:val="105"/>
        </w:rPr>
        <w:t> </w:t>
      </w:r>
      <w:r>
        <w:rPr>
          <w:w w:val="105"/>
        </w:rPr>
        <w:t>Simonsick,</w:t>
      </w:r>
      <w:r>
        <w:rPr>
          <w:spacing w:val="30"/>
          <w:w w:val="105"/>
        </w:rPr>
        <w:t> </w:t>
      </w:r>
      <w:r>
        <w:rPr>
          <w:w w:val="105"/>
        </w:rPr>
        <w:t>E.</w:t>
      </w:r>
      <w:r>
        <w:rPr>
          <w:spacing w:val="-5"/>
          <w:w w:val="105"/>
        </w:rPr>
        <w:t> </w:t>
      </w:r>
      <w:r>
        <w:rPr>
          <w:w w:val="105"/>
        </w:rPr>
        <w:t>M., Deeg, D.</w:t>
      </w:r>
      <w:r>
        <w:rPr>
          <w:spacing w:val="-5"/>
          <w:w w:val="105"/>
        </w:rPr>
        <w:t> </w:t>
      </w:r>
      <w:r>
        <w:rPr>
          <w:w w:val="105"/>
        </w:rPr>
        <w:t>J. H., Wallace,</w:t>
      </w:r>
      <w:r>
        <w:rPr>
          <w:spacing w:val="3"/>
          <w:w w:val="105"/>
        </w:rPr>
        <w:t> </w:t>
      </w:r>
      <w:r>
        <w:rPr>
          <w:w w:val="105"/>
        </w:rPr>
        <w:t>R.</w:t>
      </w:r>
      <w:r>
        <w:rPr>
          <w:spacing w:val="-7"/>
          <w:w w:val="105"/>
        </w:rPr>
        <w:t> </w:t>
      </w:r>
      <w:r>
        <w:rPr>
          <w:w w:val="105"/>
        </w:rPr>
        <w:t>B.</w:t>
      </w:r>
      <w:r>
        <w:rPr>
          <w:spacing w:val="-15"/>
          <w:w w:val="105"/>
        </w:rPr>
        <w:t> </w:t>
      </w:r>
      <w:r>
        <w:rPr>
          <w:w w:val="105"/>
        </w:rPr>
        <w:t>(1998).</w:t>
      </w:r>
      <w:r>
        <w:rPr>
          <w:spacing w:val="-3"/>
          <w:w w:val="105"/>
        </w:rPr>
        <w:t> </w:t>
      </w:r>
      <w:r>
        <w:rPr>
          <w:w w:val="105"/>
        </w:rPr>
        <w:t>Depressive</w:t>
      </w:r>
      <w:r>
        <w:rPr>
          <w:spacing w:val="4"/>
          <w:w w:val="105"/>
        </w:rPr>
        <w:t> </w:t>
      </w:r>
      <w:r>
        <w:rPr>
          <w:w w:val="105"/>
        </w:rPr>
        <w:t>symptoms</w:t>
      </w:r>
      <w:r>
        <w:rPr>
          <w:spacing w:val="-6"/>
          <w:w w:val="105"/>
        </w:rPr>
        <w:t> </w:t>
      </w:r>
      <w:r>
        <w:rPr>
          <w:w w:val="105"/>
        </w:rPr>
        <w:t>and</w:t>
      </w:r>
      <w:r>
        <w:rPr>
          <w:spacing w:val="8"/>
          <w:w w:val="105"/>
        </w:rPr>
        <w:t> </w:t>
      </w:r>
      <w:r>
        <w:rPr>
          <w:w w:val="105"/>
        </w:rPr>
        <w:t>physical</w:t>
      </w:r>
      <w:r>
        <w:rPr>
          <w:spacing w:val="6"/>
          <w:w w:val="105"/>
        </w:rPr>
        <w:t> </w:t>
      </w:r>
      <w:r>
        <w:rPr>
          <w:w w:val="105"/>
        </w:rPr>
        <w:t>decline</w:t>
      </w:r>
      <w:r>
        <w:rPr>
          <w:spacing w:val="4"/>
          <w:w w:val="105"/>
        </w:rPr>
        <w:t> </w:t>
      </w:r>
      <w:r>
        <w:rPr>
          <w:w w:val="105"/>
        </w:rPr>
        <w:t>in</w:t>
      </w:r>
      <w:r>
        <w:rPr>
          <w:spacing w:val="-1"/>
          <w:w w:val="105"/>
        </w:rPr>
        <w:t> </w:t>
      </w:r>
      <w:r>
        <w:rPr>
          <w:spacing w:val="-2"/>
          <w:w w:val="105"/>
        </w:rPr>
        <w:t>community-</w:t>
      </w:r>
    </w:p>
    <w:p>
      <w:pPr>
        <w:spacing w:after="0" w:line="247" w:lineRule="auto"/>
        <w:sectPr>
          <w:pgSz w:w="12480" w:h="15750"/>
          <w:pgMar w:header="1044" w:footer="0" w:top="1600" w:bottom="280" w:left="1760" w:right="1760"/>
        </w:sectPr>
      </w:pPr>
    </w:p>
    <w:p>
      <w:pPr>
        <w:spacing w:line="247" w:lineRule="auto" w:before="81"/>
        <w:ind w:left="914" w:right="384" w:hanging="4"/>
        <w:jc w:val="left"/>
        <w:rPr>
          <w:sz w:val="22"/>
        </w:rPr>
      </w:pPr>
      <w:r>
        <w:rPr>
          <w:w w:val="105"/>
          <w:sz w:val="22"/>
        </w:rPr>
        <w:t>dwelling older persons. </w:t>
      </w:r>
      <w:r>
        <w:rPr>
          <w:i/>
          <w:w w:val="105"/>
          <w:sz w:val="22"/>
        </w:rPr>
        <w:t>JAMA: Journal of</w:t>
      </w:r>
      <w:r>
        <w:rPr>
          <w:i/>
          <w:spacing w:val="-5"/>
          <w:w w:val="105"/>
          <w:sz w:val="22"/>
        </w:rPr>
        <w:t> </w:t>
      </w:r>
      <w:r>
        <w:rPr>
          <w:i/>
          <w:w w:val="105"/>
          <w:sz w:val="22"/>
        </w:rPr>
        <w:t>the American Medical Association,</w:t>
      </w:r>
      <w:r>
        <w:rPr>
          <w:i/>
          <w:w w:val="105"/>
          <w:sz w:val="22"/>
        </w:rPr>
        <w:t> 279(2 </w:t>
      </w:r>
      <w:r>
        <w:rPr>
          <w:w w:val="105"/>
          <w:sz w:val="22"/>
        </w:rPr>
        <w:t>l</w:t>
      </w:r>
      <w:r>
        <w:rPr>
          <w:spacing w:val="-7"/>
          <w:w w:val="105"/>
          <w:sz w:val="22"/>
        </w:rPr>
        <w:t> </w:t>
      </w:r>
      <w:r>
        <w:rPr>
          <w:w w:val="105"/>
          <w:sz w:val="22"/>
        </w:rPr>
        <w:t>),</w:t>
      </w:r>
      <w:r>
        <w:rPr>
          <w:spacing w:val="40"/>
          <w:w w:val="105"/>
          <w:sz w:val="22"/>
        </w:rPr>
        <w:t> </w:t>
      </w:r>
      <w:r>
        <w:rPr>
          <w:w w:val="105"/>
          <w:sz w:val="22"/>
        </w:rPr>
        <w:t>l</w:t>
      </w:r>
      <w:r>
        <w:rPr>
          <w:spacing w:val="-5"/>
          <w:w w:val="105"/>
          <w:sz w:val="22"/>
        </w:rPr>
        <w:t> </w:t>
      </w:r>
      <w:r>
        <w:rPr>
          <w:w w:val="105"/>
          <w:sz w:val="22"/>
        </w:rPr>
        <w:t>720-1726.</w:t>
      </w:r>
    </w:p>
    <w:p>
      <w:pPr>
        <w:pStyle w:val="BodyText"/>
        <w:spacing w:before="13"/>
      </w:pPr>
    </w:p>
    <w:p>
      <w:pPr>
        <w:spacing w:line="247" w:lineRule="auto" w:before="1"/>
        <w:ind w:left="907" w:right="137" w:hanging="408"/>
        <w:jc w:val="left"/>
        <w:rPr>
          <w:sz w:val="22"/>
        </w:rPr>
      </w:pPr>
      <w:r>
        <w:rPr>
          <w:w w:val="105"/>
          <w:sz w:val="22"/>
        </w:rPr>
        <w:t>Peres, M.</w:t>
      </w:r>
      <w:r>
        <w:rPr>
          <w:spacing w:val="-3"/>
          <w:w w:val="105"/>
          <w:sz w:val="22"/>
        </w:rPr>
        <w:t> </w:t>
      </w:r>
      <w:r>
        <w:rPr>
          <w:w w:val="105"/>
          <w:sz w:val="22"/>
        </w:rPr>
        <w:t>F.</w:t>
      </w:r>
      <w:r>
        <w:rPr>
          <w:spacing w:val="-7"/>
          <w:w w:val="105"/>
          <w:sz w:val="22"/>
        </w:rPr>
        <w:t> </w:t>
      </w:r>
      <w:r>
        <w:rPr>
          <w:w w:val="105"/>
          <w:sz w:val="22"/>
        </w:rPr>
        <w:t>P.,</w:t>
      </w:r>
      <w:r>
        <w:rPr>
          <w:spacing w:val="-2"/>
          <w:w w:val="105"/>
          <w:sz w:val="22"/>
        </w:rPr>
        <w:t> </w:t>
      </w:r>
      <w:r>
        <w:rPr>
          <w:w w:val="105"/>
          <w:sz w:val="22"/>
        </w:rPr>
        <w:t>&amp; Lucchetti, G.</w:t>
      </w:r>
      <w:r>
        <w:rPr>
          <w:spacing w:val="-7"/>
          <w:w w:val="105"/>
          <w:sz w:val="22"/>
        </w:rPr>
        <w:t> </w:t>
      </w:r>
      <w:r>
        <w:rPr>
          <w:w w:val="105"/>
          <w:sz w:val="22"/>
        </w:rPr>
        <w:t>(2010).</w:t>
      </w:r>
      <w:r>
        <w:rPr>
          <w:spacing w:val="-2"/>
          <w:w w:val="105"/>
          <w:sz w:val="22"/>
        </w:rPr>
        <w:t> </w:t>
      </w:r>
      <w:r>
        <w:rPr>
          <w:w w:val="105"/>
          <w:sz w:val="22"/>
        </w:rPr>
        <w:t>Coping</w:t>
      </w:r>
      <w:r>
        <w:rPr>
          <w:spacing w:val="-2"/>
          <w:w w:val="105"/>
          <w:sz w:val="22"/>
        </w:rPr>
        <w:t> </w:t>
      </w:r>
      <w:r>
        <w:rPr>
          <w:w w:val="105"/>
          <w:sz w:val="22"/>
        </w:rPr>
        <w:t>strategies in chronic pain.</w:t>
      </w:r>
      <w:r>
        <w:rPr>
          <w:spacing w:val="-5"/>
          <w:w w:val="105"/>
          <w:sz w:val="22"/>
        </w:rPr>
        <w:t> </w:t>
      </w:r>
      <w:r>
        <w:rPr>
          <w:i/>
          <w:w w:val="105"/>
          <w:sz w:val="22"/>
        </w:rPr>
        <w:t>Current</w:t>
      </w:r>
      <w:r>
        <w:rPr>
          <w:i/>
          <w:spacing w:val="23"/>
          <w:w w:val="105"/>
          <w:sz w:val="22"/>
        </w:rPr>
        <w:t> </w:t>
      </w:r>
      <w:r>
        <w:rPr>
          <w:i/>
          <w:w w:val="105"/>
          <w:sz w:val="22"/>
        </w:rPr>
        <w:t>Pain</w:t>
      </w:r>
      <w:r>
        <w:rPr>
          <w:i/>
          <w:w w:val="105"/>
          <w:sz w:val="22"/>
        </w:rPr>
        <w:t> and Headache</w:t>
      </w:r>
      <w:r>
        <w:rPr>
          <w:i/>
          <w:spacing w:val="40"/>
          <w:w w:val="105"/>
          <w:sz w:val="22"/>
        </w:rPr>
        <w:t> </w:t>
      </w:r>
      <w:r>
        <w:rPr>
          <w:i/>
          <w:w w:val="105"/>
          <w:sz w:val="22"/>
        </w:rPr>
        <w:t>Reports, 14(5), </w:t>
      </w:r>
      <w:r>
        <w:rPr>
          <w:w w:val="105"/>
          <w:sz w:val="22"/>
        </w:rPr>
        <w:t>331-338.</w:t>
      </w:r>
    </w:p>
    <w:p>
      <w:pPr>
        <w:pStyle w:val="BodyText"/>
        <w:spacing w:before="9"/>
      </w:pPr>
    </w:p>
    <w:p>
      <w:pPr>
        <w:pStyle w:val="BodyText"/>
        <w:spacing w:line="249" w:lineRule="auto"/>
        <w:ind w:left="909" w:right="137" w:hanging="405"/>
      </w:pPr>
      <w:r>
        <w:rPr>
          <w:w w:val="105"/>
        </w:rPr>
        <w:t>Poole, H., White, S., Blake, C., Murphy, P., &amp; Bramwell, R. (2009). Depression</w:t>
      </w:r>
      <w:r>
        <w:rPr>
          <w:spacing w:val="38"/>
          <w:w w:val="105"/>
        </w:rPr>
        <w:t> </w:t>
      </w:r>
      <w:r>
        <w:rPr>
          <w:w w:val="105"/>
        </w:rPr>
        <w:t>in chronic pain</w:t>
      </w:r>
      <w:r>
        <w:rPr>
          <w:w w:val="105"/>
        </w:rPr>
        <w:t> patients: Prevalence and measurement.</w:t>
      </w:r>
      <w:r>
        <w:rPr>
          <w:w w:val="105"/>
        </w:rPr>
        <w:t> </w:t>
      </w:r>
      <w:r>
        <w:rPr>
          <w:i/>
          <w:w w:val="105"/>
        </w:rPr>
        <w:t>Pain</w:t>
      </w:r>
      <w:r>
        <w:rPr>
          <w:i/>
          <w:spacing w:val="-6"/>
          <w:w w:val="105"/>
        </w:rPr>
        <w:t> </w:t>
      </w:r>
      <w:r>
        <w:rPr>
          <w:i/>
          <w:w w:val="105"/>
        </w:rPr>
        <w:t>Practice,</w:t>
      </w:r>
      <w:r>
        <w:rPr>
          <w:i/>
          <w:spacing w:val="-1"/>
          <w:w w:val="105"/>
        </w:rPr>
        <w:t> </w:t>
      </w:r>
      <w:r>
        <w:rPr>
          <w:i/>
          <w:w w:val="105"/>
        </w:rPr>
        <w:t>9(3</w:t>
      </w:r>
      <w:r>
        <w:rPr>
          <w:w w:val="105"/>
        </w:rPr>
        <w:t>),</w:t>
      </w:r>
      <w:r>
        <w:rPr>
          <w:spacing w:val="-5"/>
          <w:w w:val="105"/>
        </w:rPr>
        <w:t> </w:t>
      </w:r>
      <w:r>
        <w:rPr>
          <w:w w:val="105"/>
        </w:rPr>
        <w:t>173-180. doi:10.l l l l/j.1533-2500.2009.00274.x</w:t>
      </w:r>
    </w:p>
    <w:p>
      <w:pPr>
        <w:pStyle w:val="BodyText"/>
      </w:pPr>
    </w:p>
    <w:p>
      <w:pPr>
        <w:pStyle w:val="BodyText"/>
        <w:spacing w:line="249" w:lineRule="auto"/>
        <w:ind w:left="913" w:right="137" w:hanging="409"/>
      </w:pPr>
      <w:r>
        <w:rPr>
          <w:w w:val="105"/>
        </w:rPr>
        <w:t>Pressman, S. D., Matthews, K. A.,</w:t>
      </w:r>
      <w:r>
        <w:rPr>
          <w:spacing w:val="-1"/>
          <w:w w:val="105"/>
        </w:rPr>
        <w:t> </w:t>
      </w:r>
      <w:r>
        <w:rPr>
          <w:w w:val="105"/>
        </w:rPr>
        <w:t>Cohen, S., Martire, L. M., Scheier, M., Baum, A.,</w:t>
      </w:r>
      <w:r>
        <w:rPr>
          <w:spacing w:val="-2"/>
          <w:w w:val="105"/>
        </w:rPr>
        <w:t> </w:t>
      </w:r>
      <w:r>
        <w:rPr>
          <w:w w:val="105"/>
        </w:rPr>
        <w:t>&amp; Schulz,</w:t>
      </w:r>
      <w:r>
        <w:rPr>
          <w:spacing w:val="-1"/>
          <w:w w:val="105"/>
        </w:rPr>
        <w:t> </w:t>
      </w:r>
      <w:r>
        <w:rPr>
          <w:w w:val="105"/>
        </w:rPr>
        <w:t>R.</w:t>
      </w:r>
      <w:r>
        <w:rPr>
          <w:spacing w:val="-14"/>
          <w:w w:val="105"/>
        </w:rPr>
        <w:t> </w:t>
      </w:r>
      <w:r>
        <w:rPr>
          <w:w w:val="105"/>
        </w:rPr>
        <w:t>(2009). Association of</w:t>
      </w:r>
      <w:r>
        <w:rPr>
          <w:spacing w:val="-13"/>
          <w:w w:val="105"/>
        </w:rPr>
        <w:t> </w:t>
      </w:r>
      <w:r>
        <w:rPr>
          <w:w w:val="105"/>
        </w:rPr>
        <w:t>enjoyable</w:t>
      </w:r>
      <w:r>
        <w:rPr>
          <w:w w:val="105"/>
        </w:rPr>
        <w:t> leisure</w:t>
      </w:r>
      <w:r>
        <w:rPr>
          <w:spacing w:val="-1"/>
          <w:w w:val="105"/>
        </w:rPr>
        <w:t> </w:t>
      </w:r>
      <w:r>
        <w:rPr>
          <w:w w:val="105"/>
        </w:rPr>
        <w:t>activities with</w:t>
      </w:r>
      <w:r>
        <w:rPr>
          <w:w w:val="105"/>
        </w:rPr>
        <w:t> psychological and physical</w:t>
      </w:r>
      <w:r>
        <w:rPr>
          <w:w w:val="105"/>
        </w:rPr>
        <w:t> well-being. </w:t>
      </w:r>
      <w:r>
        <w:rPr>
          <w:i/>
          <w:w w:val="105"/>
        </w:rPr>
        <w:t>Psychosomatic Medicine, 71</w:t>
      </w:r>
      <w:r>
        <w:rPr>
          <w:w w:val="105"/>
        </w:rPr>
        <w:t>(7), 725-732.</w:t>
      </w:r>
    </w:p>
    <w:p>
      <w:pPr>
        <w:pStyle w:val="BodyText"/>
        <w:spacing w:line="252" w:lineRule="exact"/>
        <w:ind w:left="910"/>
      </w:pPr>
      <w:r>
        <w:rPr/>
        <w:t>doi:</w:t>
      </w:r>
      <w:r>
        <w:rPr>
          <w:spacing w:val="-10"/>
        </w:rPr>
        <w:t> </w:t>
      </w:r>
      <w:r>
        <w:rPr/>
        <w:t>l</w:t>
      </w:r>
      <w:r>
        <w:rPr>
          <w:spacing w:val="-9"/>
        </w:rPr>
        <w:t> </w:t>
      </w:r>
      <w:r>
        <w:rPr/>
        <w:t>0.1097/PSY.Ob013e3</w:t>
      </w:r>
      <w:r>
        <w:rPr>
          <w:spacing w:val="-9"/>
        </w:rPr>
        <w:t> </w:t>
      </w:r>
      <w:r>
        <w:rPr/>
        <w:t>l</w:t>
      </w:r>
      <w:r>
        <w:rPr>
          <w:spacing w:val="-11"/>
        </w:rPr>
        <w:t> </w:t>
      </w:r>
      <w:r>
        <w:rPr>
          <w:spacing w:val="-2"/>
        </w:rPr>
        <w:t>8lad7978</w:t>
      </w:r>
    </w:p>
    <w:p>
      <w:pPr>
        <w:pStyle w:val="BodyText"/>
        <w:spacing w:before="18"/>
      </w:pPr>
    </w:p>
    <w:p>
      <w:pPr>
        <w:spacing w:line="247" w:lineRule="auto" w:before="0"/>
        <w:ind w:left="914" w:right="234" w:hanging="405"/>
        <w:jc w:val="left"/>
        <w:rPr>
          <w:sz w:val="22"/>
        </w:rPr>
      </w:pPr>
      <w:r>
        <w:rPr>
          <w:w w:val="105"/>
          <w:sz w:val="22"/>
        </w:rPr>
        <w:t>Rogers, N.</w:t>
      </w:r>
      <w:r>
        <w:rPr>
          <w:spacing w:val="-8"/>
          <w:w w:val="105"/>
          <w:sz w:val="22"/>
        </w:rPr>
        <w:t> </w:t>
      </w:r>
      <w:r>
        <w:rPr>
          <w:w w:val="105"/>
          <w:sz w:val="22"/>
        </w:rPr>
        <w:t>8.,</w:t>
      </w:r>
      <w:r>
        <w:rPr>
          <w:spacing w:val="40"/>
          <w:w w:val="105"/>
          <w:sz w:val="22"/>
        </w:rPr>
        <w:t> </w:t>
      </w:r>
      <w:r>
        <w:rPr>
          <w:w w:val="105"/>
          <w:sz w:val="22"/>
        </w:rPr>
        <w:t>Hawkins,</w:t>
      </w:r>
      <w:r>
        <w:rPr>
          <w:w w:val="105"/>
          <w:sz w:val="22"/>
        </w:rPr>
        <w:t> B.</w:t>
      </w:r>
      <w:r>
        <w:rPr>
          <w:spacing w:val="-1"/>
          <w:w w:val="105"/>
          <w:sz w:val="22"/>
        </w:rPr>
        <w:t> </w:t>
      </w:r>
      <w:r>
        <w:rPr>
          <w:w w:val="105"/>
          <w:sz w:val="22"/>
        </w:rPr>
        <w:t>A.,</w:t>
      </w:r>
      <w:r>
        <w:rPr>
          <w:spacing w:val="-2"/>
          <w:w w:val="105"/>
          <w:sz w:val="22"/>
        </w:rPr>
        <w:t> </w:t>
      </w:r>
      <w:r>
        <w:rPr>
          <w:w w:val="105"/>
          <w:sz w:val="22"/>
        </w:rPr>
        <w:t>&amp; Eklund, S.</w:t>
      </w:r>
      <w:r>
        <w:rPr>
          <w:spacing w:val="-11"/>
          <w:w w:val="105"/>
          <w:sz w:val="22"/>
        </w:rPr>
        <w:t> </w:t>
      </w:r>
      <w:r>
        <w:rPr>
          <w:w w:val="105"/>
          <w:sz w:val="22"/>
        </w:rPr>
        <w:t>J.</w:t>
      </w:r>
      <w:r>
        <w:rPr>
          <w:spacing w:val="-8"/>
          <w:w w:val="105"/>
          <w:sz w:val="22"/>
        </w:rPr>
        <w:t> </w:t>
      </w:r>
      <w:r>
        <w:rPr>
          <w:w w:val="105"/>
          <w:sz w:val="22"/>
        </w:rPr>
        <w:t>(1998).</w:t>
      </w:r>
      <w:r>
        <w:rPr>
          <w:spacing w:val="-1"/>
          <w:w w:val="105"/>
          <w:sz w:val="22"/>
        </w:rPr>
        <w:t> </w:t>
      </w:r>
      <w:r>
        <w:rPr>
          <w:w w:val="105"/>
          <w:sz w:val="22"/>
        </w:rPr>
        <w:t>The nature of</w:t>
      </w:r>
      <w:r>
        <w:rPr>
          <w:spacing w:val="-2"/>
          <w:w w:val="105"/>
          <w:sz w:val="22"/>
        </w:rPr>
        <w:t> </w:t>
      </w:r>
      <w:r>
        <w:rPr>
          <w:w w:val="105"/>
          <w:sz w:val="22"/>
        </w:rPr>
        <w:t>leisure in the lives of older adults with intellectual</w:t>
      </w:r>
      <w:r>
        <w:rPr>
          <w:w w:val="105"/>
          <w:sz w:val="22"/>
        </w:rPr>
        <w:t> disability. </w:t>
      </w:r>
      <w:r>
        <w:rPr>
          <w:i/>
          <w:w w:val="105"/>
          <w:sz w:val="22"/>
        </w:rPr>
        <w:t>Journal of Intellectual</w:t>
      </w:r>
      <w:r>
        <w:rPr>
          <w:i/>
          <w:w w:val="105"/>
          <w:sz w:val="22"/>
        </w:rPr>
        <w:t> Disability</w:t>
      </w:r>
      <w:r>
        <w:rPr>
          <w:i/>
          <w:w w:val="105"/>
          <w:sz w:val="22"/>
        </w:rPr>
        <w:t> Research, 42(2), </w:t>
      </w:r>
      <w:r>
        <w:rPr>
          <w:w w:val="105"/>
          <w:sz w:val="22"/>
        </w:rPr>
        <w:t>122-130.</w:t>
      </w:r>
    </w:p>
    <w:p>
      <w:pPr>
        <w:pStyle w:val="BodyText"/>
        <w:spacing w:before="8"/>
      </w:pPr>
    </w:p>
    <w:p>
      <w:pPr>
        <w:spacing w:line="247" w:lineRule="auto" w:before="1"/>
        <w:ind w:left="914" w:right="137" w:hanging="405"/>
        <w:jc w:val="left"/>
        <w:rPr>
          <w:sz w:val="22"/>
        </w:rPr>
      </w:pPr>
      <w:r>
        <w:rPr>
          <w:w w:val="105"/>
          <w:sz w:val="22"/>
        </w:rPr>
        <w:t>Roshanaei-Moghaddam,</w:t>
      </w:r>
      <w:r>
        <w:rPr>
          <w:spacing w:val="-8"/>
          <w:w w:val="105"/>
          <w:sz w:val="22"/>
        </w:rPr>
        <w:t> </w:t>
      </w:r>
      <w:r>
        <w:rPr>
          <w:w w:val="105"/>
          <w:sz w:val="22"/>
        </w:rPr>
        <w:t>B., Katon, W.</w:t>
      </w:r>
      <w:r>
        <w:rPr>
          <w:spacing w:val="-10"/>
          <w:w w:val="105"/>
          <w:sz w:val="22"/>
        </w:rPr>
        <w:t> </w:t>
      </w:r>
      <w:r>
        <w:rPr>
          <w:w w:val="105"/>
          <w:sz w:val="22"/>
        </w:rPr>
        <w:t>J.,</w:t>
      </w:r>
      <w:r>
        <w:rPr>
          <w:spacing w:val="-3"/>
          <w:w w:val="105"/>
          <w:sz w:val="22"/>
        </w:rPr>
        <w:t> </w:t>
      </w:r>
      <w:r>
        <w:rPr>
          <w:w w:val="105"/>
          <w:sz w:val="22"/>
        </w:rPr>
        <w:t>&amp; Russo, J. R.</w:t>
      </w:r>
      <w:r>
        <w:rPr>
          <w:spacing w:val="-13"/>
          <w:w w:val="105"/>
          <w:sz w:val="22"/>
        </w:rPr>
        <w:t> </w:t>
      </w:r>
      <w:r>
        <w:rPr>
          <w:w w:val="105"/>
          <w:sz w:val="22"/>
        </w:rPr>
        <w:t>(2009).</w:t>
      </w:r>
      <w:r>
        <w:rPr>
          <w:spacing w:val="-1"/>
          <w:w w:val="105"/>
          <w:sz w:val="22"/>
        </w:rPr>
        <w:t> </w:t>
      </w:r>
      <w:r>
        <w:rPr>
          <w:w w:val="105"/>
          <w:sz w:val="22"/>
        </w:rPr>
        <w:t>The longitudinal effects of depression</w:t>
      </w:r>
      <w:r>
        <w:rPr>
          <w:spacing w:val="40"/>
          <w:w w:val="105"/>
          <w:sz w:val="22"/>
        </w:rPr>
        <w:t> </w:t>
      </w:r>
      <w:r>
        <w:rPr>
          <w:w w:val="105"/>
          <w:sz w:val="22"/>
        </w:rPr>
        <w:t>on physical activity. </w:t>
      </w:r>
      <w:r>
        <w:rPr>
          <w:i/>
          <w:w w:val="105"/>
          <w:sz w:val="22"/>
        </w:rPr>
        <w:t>General Hospital</w:t>
      </w:r>
      <w:r>
        <w:rPr>
          <w:i/>
          <w:spacing w:val="40"/>
          <w:w w:val="105"/>
          <w:sz w:val="22"/>
        </w:rPr>
        <w:t> </w:t>
      </w:r>
      <w:r>
        <w:rPr>
          <w:i/>
          <w:w w:val="105"/>
          <w:sz w:val="22"/>
        </w:rPr>
        <w:t>Psychiatry, 31(4),</w:t>
      </w:r>
      <w:r>
        <w:rPr>
          <w:i/>
          <w:spacing w:val="-1"/>
          <w:w w:val="105"/>
          <w:sz w:val="22"/>
        </w:rPr>
        <w:t> </w:t>
      </w:r>
      <w:r>
        <w:rPr>
          <w:w w:val="105"/>
          <w:sz w:val="22"/>
        </w:rPr>
        <w:t>306-315.</w:t>
      </w:r>
    </w:p>
    <w:p>
      <w:pPr>
        <w:pStyle w:val="BodyText"/>
        <w:spacing w:before="4"/>
      </w:pPr>
    </w:p>
    <w:p>
      <w:pPr>
        <w:pStyle w:val="BodyText"/>
        <w:spacing w:line="249" w:lineRule="auto"/>
        <w:ind w:left="923" w:right="137" w:hanging="419"/>
      </w:pPr>
      <w:r>
        <w:rPr>
          <w:w w:val="105"/>
        </w:rPr>
        <w:t>Rutledge, D.</w:t>
      </w:r>
      <w:r>
        <w:rPr>
          <w:spacing w:val="-1"/>
          <w:w w:val="105"/>
        </w:rPr>
        <w:t> </w:t>
      </w:r>
      <w:r>
        <w:rPr>
          <w:w w:val="105"/>
        </w:rPr>
        <w:t>N.,</w:t>
      </w:r>
      <w:r>
        <w:rPr>
          <w:spacing w:val="-6"/>
          <w:w w:val="105"/>
        </w:rPr>
        <w:t> </w:t>
      </w:r>
      <w:r>
        <w:rPr>
          <w:w w:val="105"/>
        </w:rPr>
        <w:t>Cherry, B. J., Rose, D.</w:t>
      </w:r>
      <w:r>
        <w:rPr>
          <w:spacing w:val="-4"/>
          <w:w w:val="105"/>
        </w:rPr>
        <w:t> </w:t>
      </w:r>
      <w:r>
        <w:rPr>
          <w:w w:val="105"/>
        </w:rPr>
        <w:t>J., Rakovski, C.,</w:t>
      </w:r>
      <w:r>
        <w:rPr>
          <w:spacing w:val="-2"/>
          <w:w w:val="105"/>
        </w:rPr>
        <w:t> </w:t>
      </w:r>
      <w:r>
        <w:rPr>
          <w:w w:val="105"/>
        </w:rPr>
        <w:t>&amp;</w:t>
      </w:r>
      <w:r>
        <w:rPr>
          <w:spacing w:val="-4"/>
          <w:w w:val="105"/>
        </w:rPr>
        <w:t> </w:t>
      </w:r>
      <w:r>
        <w:rPr>
          <w:w w:val="105"/>
        </w:rPr>
        <w:t>Jones, C.</w:t>
      </w:r>
      <w:r>
        <w:rPr>
          <w:spacing w:val="-16"/>
          <w:w w:val="105"/>
        </w:rPr>
        <w:t> </w:t>
      </w:r>
      <w:r>
        <w:rPr>
          <w:w w:val="105"/>
        </w:rPr>
        <w:t>J. (2010). Do</w:t>
      </w:r>
      <w:r>
        <w:rPr>
          <w:spacing w:val="-2"/>
          <w:w w:val="105"/>
        </w:rPr>
        <w:t> </w:t>
      </w:r>
      <w:r>
        <w:rPr>
          <w:w w:val="105"/>
        </w:rPr>
        <w:t>fall predictors in middle aged and older adults predict fall status in persons 50+ with fibromyalgia?</w:t>
      </w:r>
      <w:r>
        <w:rPr>
          <w:w w:val="105"/>
        </w:rPr>
        <w:t> An</w:t>
      </w:r>
      <w:r>
        <w:rPr>
          <w:spacing w:val="-2"/>
          <w:w w:val="105"/>
        </w:rPr>
        <w:t> </w:t>
      </w:r>
      <w:r>
        <w:rPr>
          <w:w w:val="105"/>
        </w:rPr>
        <w:t>exploratory study. </w:t>
      </w:r>
      <w:r>
        <w:rPr>
          <w:i/>
          <w:w w:val="105"/>
        </w:rPr>
        <w:t>Research</w:t>
      </w:r>
      <w:r>
        <w:rPr>
          <w:i/>
          <w:spacing w:val="-2"/>
          <w:w w:val="105"/>
        </w:rPr>
        <w:t> </w:t>
      </w:r>
      <w:r>
        <w:rPr>
          <w:i/>
          <w:w w:val="105"/>
        </w:rPr>
        <w:t>in Nursing and</w:t>
      </w:r>
      <w:r>
        <w:rPr>
          <w:i/>
          <w:spacing w:val="40"/>
          <w:w w:val="105"/>
        </w:rPr>
        <w:t> </w:t>
      </w:r>
      <w:r>
        <w:rPr>
          <w:i/>
          <w:w w:val="105"/>
        </w:rPr>
        <w:t>Health,</w:t>
      </w:r>
      <w:r>
        <w:rPr>
          <w:i/>
          <w:spacing w:val="-10"/>
          <w:w w:val="105"/>
        </w:rPr>
        <w:t> </w:t>
      </w:r>
      <w:r>
        <w:rPr>
          <w:i/>
          <w:w w:val="105"/>
        </w:rPr>
        <w:t>33(3),</w:t>
      </w:r>
      <w:r>
        <w:rPr>
          <w:i/>
          <w:spacing w:val="-3"/>
          <w:w w:val="105"/>
        </w:rPr>
        <w:t> </w:t>
      </w:r>
      <w:r>
        <w:rPr>
          <w:w w:val="105"/>
        </w:rPr>
        <w:t>192-</w:t>
      </w:r>
    </w:p>
    <w:p>
      <w:pPr>
        <w:pStyle w:val="BodyText"/>
        <w:spacing w:line="247" w:lineRule="exact"/>
        <w:ind w:left="922"/>
      </w:pPr>
      <w:r>
        <w:rPr>
          <w:w w:val="105"/>
        </w:rPr>
        <w:t>206.</w:t>
      </w:r>
      <w:r>
        <w:rPr>
          <w:spacing w:val="-11"/>
          <w:w w:val="105"/>
        </w:rPr>
        <w:t> </w:t>
      </w:r>
      <w:r>
        <w:rPr>
          <w:w w:val="105"/>
        </w:rPr>
        <w:t>doi:</w:t>
      </w:r>
      <w:r>
        <w:rPr>
          <w:spacing w:val="-30"/>
          <w:w w:val="105"/>
        </w:rPr>
        <w:t> </w:t>
      </w:r>
      <w:r>
        <w:rPr>
          <w:w w:val="105"/>
        </w:rPr>
        <w:t>l</w:t>
      </w:r>
      <w:r>
        <w:rPr>
          <w:spacing w:val="-26"/>
          <w:w w:val="105"/>
        </w:rPr>
        <w:t> </w:t>
      </w:r>
      <w:r>
        <w:rPr>
          <w:spacing w:val="-2"/>
          <w:w w:val="105"/>
        </w:rPr>
        <w:t>0.1002/nur.20376</w:t>
      </w:r>
    </w:p>
    <w:p>
      <w:pPr>
        <w:pStyle w:val="BodyText"/>
        <w:spacing w:before="18"/>
      </w:pPr>
    </w:p>
    <w:p>
      <w:pPr>
        <w:pStyle w:val="BodyText"/>
        <w:spacing w:line="247" w:lineRule="auto"/>
        <w:ind w:left="917" w:right="137" w:hanging="413"/>
      </w:pPr>
      <w:r>
        <w:rPr>
          <w:w w:val="105"/>
        </w:rPr>
        <w:t>Sandstrom,</w:t>
      </w:r>
      <w:r>
        <w:rPr>
          <w:spacing w:val="40"/>
          <w:w w:val="105"/>
        </w:rPr>
        <w:t> </w:t>
      </w:r>
      <w:r>
        <w:rPr>
          <w:w w:val="105"/>
        </w:rPr>
        <w:t>M. J., &amp; Keefe, F. J. (1998). Self-management offibromyalgia: The role of formal coping</w:t>
      </w:r>
      <w:r>
        <w:rPr>
          <w:spacing w:val="-2"/>
          <w:w w:val="105"/>
        </w:rPr>
        <w:t> </w:t>
      </w:r>
      <w:r>
        <w:rPr>
          <w:w w:val="105"/>
        </w:rPr>
        <w:t>skills</w:t>
      </w:r>
      <w:r>
        <w:rPr>
          <w:spacing w:val="-12"/>
          <w:w w:val="105"/>
        </w:rPr>
        <w:t> </w:t>
      </w:r>
      <w:r>
        <w:rPr>
          <w:w w:val="105"/>
        </w:rPr>
        <w:t>training and physical exercise training</w:t>
      </w:r>
      <w:r>
        <w:rPr>
          <w:w w:val="105"/>
        </w:rPr>
        <w:t> programs. </w:t>
      </w:r>
      <w:r>
        <w:rPr>
          <w:i/>
          <w:w w:val="105"/>
        </w:rPr>
        <w:t>Arthritis</w:t>
      </w:r>
      <w:r>
        <w:rPr>
          <w:i/>
          <w:spacing w:val="-2"/>
          <w:w w:val="105"/>
        </w:rPr>
        <w:t> </w:t>
      </w:r>
      <w:r>
        <w:rPr>
          <w:i/>
          <w:w w:val="105"/>
        </w:rPr>
        <w:t>Care</w:t>
      </w:r>
      <w:r>
        <w:rPr>
          <w:i/>
          <w:w w:val="105"/>
        </w:rPr>
        <w:t> and Research, 11(6), </w:t>
      </w:r>
      <w:r>
        <w:rPr>
          <w:w w:val="105"/>
        </w:rPr>
        <w:t>432-447.</w:t>
      </w:r>
    </w:p>
    <w:p>
      <w:pPr>
        <w:pStyle w:val="BodyText"/>
        <w:spacing w:before="8"/>
      </w:pPr>
    </w:p>
    <w:p>
      <w:pPr>
        <w:pStyle w:val="BodyText"/>
        <w:ind w:left="500"/>
      </w:pPr>
      <w:r>
        <w:rPr>
          <w:w w:val="105"/>
        </w:rPr>
        <w:t>Schalock,</w:t>
      </w:r>
      <w:r>
        <w:rPr>
          <w:spacing w:val="7"/>
          <w:w w:val="105"/>
        </w:rPr>
        <w:t> </w:t>
      </w:r>
      <w:r>
        <w:rPr>
          <w:w w:val="105"/>
        </w:rPr>
        <w:t>R. L.</w:t>
      </w:r>
      <w:r>
        <w:rPr>
          <w:spacing w:val="-8"/>
          <w:w w:val="105"/>
        </w:rPr>
        <w:t> </w:t>
      </w:r>
      <w:r>
        <w:rPr>
          <w:w w:val="105"/>
        </w:rPr>
        <w:t>(1997).</w:t>
      </w:r>
      <w:r>
        <w:rPr>
          <w:spacing w:val="-3"/>
          <w:w w:val="105"/>
        </w:rPr>
        <w:t> </w:t>
      </w:r>
      <w:r>
        <w:rPr>
          <w:w w:val="105"/>
        </w:rPr>
        <w:t>Quality</w:t>
      </w:r>
      <w:r>
        <w:rPr>
          <w:spacing w:val="2"/>
          <w:w w:val="105"/>
        </w:rPr>
        <w:t> </w:t>
      </w:r>
      <w:r>
        <w:rPr>
          <w:w w:val="105"/>
        </w:rPr>
        <w:t>of</w:t>
      </w:r>
      <w:r>
        <w:rPr>
          <w:spacing w:val="-2"/>
          <w:w w:val="105"/>
        </w:rPr>
        <w:t> </w:t>
      </w:r>
      <w:r>
        <w:rPr>
          <w:w w:val="105"/>
        </w:rPr>
        <w:t>life:</w:t>
      </w:r>
      <w:r>
        <w:rPr>
          <w:spacing w:val="-2"/>
          <w:w w:val="105"/>
        </w:rPr>
        <w:t> </w:t>
      </w:r>
      <w:r>
        <w:rPr>
          <w:w w:val="105"/>
        </w:rPr>
        <w:t>Application</w:t>
      </w:r>
      <w:r>
        <w:rPr>
          <w:spacing w:val="11"/>
          <w:w w:val="105"/>
        </w:rPr>
        <w:t> </w:t>
      </w:r>
      <w:r>
        <w:rPr>
          <w:w w:val="105"/>
        </w:rPr>
        <w:t>to</w:t>
      </w:r>
      <w:r>
        <w:rPr>
          <w:spacing w:val="9"/>
          <w:w w:val="105"/>
        </w:rPr>
        <w:t> </w:t>
      </w:r>
      <w:r>
        <w:rPr>
          <w:w w:val="105"/>
        </w:rPr>
        <w:t>persons</w:t>
      </w:r>
      <w:r>
        <w:rPr>
          <w:spacing w:val="6"/>
          <w:w w:val="105"/>
        </w:rPr>
        <w:t> </w:t>
      </w:r>
      <w:r>
        <w:rPr>
          <w:w w:val="105"/>
        </w:rPr>
        <w:t>with</w:t>
      </w:r>
      <w:r>
        <w:rPr>
          <w:spacing w:val="2"/>
          <w:w w:val="105"/>
        </w:rPr>
        <w:t> </w:t>
      </w:r>
      <w:r>
        <w:rPr>
          <w:w w:val="105"/>
        </w:rPr>
        <w:t>disabilities,</w:t>
      </w:r>
      <w:r>
        <w:rPr>
          <w:spacing w:val="13"/>
          <w:w w:val="105"/>
        </w:rPr>
        <w:t> </w:t>
      </w:r>
      <w:r>
        <w:rPr>
          <w:w w:val="105"/>
        </w:rPr>
        <w:t>volume</w:t>
      </w:r>
      <w:r>
        <w:rPr>
          <w:spacing w:val="6"/>
          <w:w w:val="105"/>
        </w:rPr>
        <w:t> </w:t>
      </w:r>
      <w:r>
        <w:rPr>
          <w:spacing w:val="-5"/>
          <w:w w:val="105"/>
        </w:rPr>
        <w:t>2.</w:t>
      </w:r>
    </w:p>
    <w:p>
      <w:pPr>
        <w:pStyle w:val="BodyText"/>
        <w:spacing w:before="7"/>
        <w:ind w:left="929"/>
      </w:pPr>
      <w:r>
        <w:rPr>
          <w:w w:val="105"/>
        </w:rPr>
        <w:t>Washington,</w:t>
      </w:r>
      <w:r>
        <w:rPr>
          <w:spacing w:val="5"/>
          <w:w w:val="105"/>
        </w:rPr>
        <w:t> </w:t>
      </w:r>
      <w:r>
        <w:rPr>
          <w:w w:val="105"/>
        </w:rPr>
        <w:t>DC:</w:t>
      </w:r>
      <w:r>
        <w:rPr>
          <w:spacing w:val="-10"/>
          <w:w w:val="105"/>
        </w:rPr>
        <w:t> </w:t>
      </w:r>
      <w:r>
        <w:rPr>
          <w:w w:val="105"/>
        </w:rPr>
        <w:t>American</w:t>
      </w:r>
      <w:r>
        <w:rPr>
          <w:spacing w:val="10"/>
          <w:w w:val="105"/>
        </w:rPr>
        <w:t> </w:t>
      </w:r>
      <w:r>
        <w:rPr>
          <w:w w:val="105"/>
        </w:rPr>
        <w:t>Association</w:t>
      </w:r>
      <w:r>
        <w:rPr>
          <w:spacing w:val="5"/>
          <w:w w:val="105"/>
        </w:rPr>
        <w:t> </w:t>
      </w:r>
      <w:r>
        <w:rPr>
          <w:w w:val="105"/>
        </w:rPr>
        <w:t>on</w:t>
      </w:r>
      <w:r>
        <w:rPr>
          <w:spacing w:val="-3"/>
          <w:w w:val="105"/>
        </w:rPr>
        <w:t> </w:t>
      </w:r>
      <w:r>
        <w:rPr>
          <w:w w:val="105"/>
        </w:rPr>
        <w:t>Mental</w:t>
      </w:r>
      <w:r>
        <w:rPr>
          <w:spacing w:val="6"/>
          <w:w w:val="105"/>
        </w:rPr>
        <w:t> </w:t>
      </w:r>
      <w:r>
        <w:rPr>
          <w:spacing w:val="-2"/>
          <w:w w:val="105"/>
        </w:rPr>
        <w:t>Retardation.</w:t>
      </w:r>
    </w:p>
    <w:p>
      <w:pPr>
        <w:pStyle w:val="BodyText"/>
        <w:spacing w:before="17"/>
      </w:pPr>
    </w:p>
    <w:p>
      <w:pPr>
        <w:pStyle w:val="BodyText"/>
        <w:spacing w:line="247" w:lineRule="auto"/>
        <w:ind w:left="920" w:right="128" w:hanging="416"/>
      </w:pPr>
      <w:r>
        <w:rPr>
          <w:w w:val="105"/>
        </w:rPr>
        <w:t>Silverman, S. L., Hamett, J., Zlateva, G., &amp; Mardekian, J. (2010). Identifying fibromyalgia-associated</w:t>
      </w:r>
      <w:r>
        <w:rPr>
          <w:spacing w:val="-4"/>
          <w:w w:val="105"/>
        </w:rPr>
        <w:t> </w:t>
      </w:r>
      <w:r>
        <w:rPr>
          <w:w w:val="105"/>
        </w:rPr>
        <w:t>symptoms and</w:t>
      </w:r>
      <w:r>
        <w:rPr>
          <w:spacing w:val="-1"/>
          <w:w w:val="105"/>
        </w:rPr>
        <w:t> </w:t>
      </w:r>
      <w:r>
        <w:rPr>
          <w:w w:val="105"/>
        </w:rPr>
        <w:t>conditions from a</w:t>
      </w:r>
      <w:r>
        <w:rPr>
          <w:spacing w:val="-2"/>
          <w:w w:val="105"/>
        </w:rPr>
        <w:t> </w:t>
      </w:r>
      <w:r>
        <w:rPr>
          <w:w w:val="105"/>
        </w:rPr>
        <w:t>clinical</w:t>
      </w:r>
      <w:r>
        <w:rPr>
          <w:w w:val="105"/>
        </w:rPr>
        <w:t> perspective:</w:t>
      </w:r>
      <w:r>
        <w:rPr>
          <w:w w:val="105"/>
        </w:rPr>
        <w:t> A</w:t>
      </w:r>
      <w:r>
        <w:rPr>
          <w:spacing w:val="-5"/>
          <w:w w:val="105"/>
        </w:rPr>
        <w:t> </w:t>
      </w:r>
      <w:r>
        <w:rPr>
          <w:w w:val="105"/>
        </w:rPr>
        <w:t>step toward evaluating healthcare</w:t>
      </w:r>
      <w:r>
        <w:rPr>
          <w:w w:val="105"/>
        </w:rPr>
        <w:t> resource</w:t>
      </w:r>
      <w:r>
        <w:rPr>
          <w:w w:val="105"/>
        </w:rPr>
        <w:t> utilization</w:t>
      </w:r>
      <w:r>
        <w:rPr>
          <w:spacing w:val="37"/>
          <w:w w:val="105"/>
        </w:rPr>
        <w:t> </w:t>
      </w:r>
      <w:r>
        <w:rPr>
          <w:w w:val="105"/>
        </w:rPr>
        <w:t>in fibromyalgia.</w:t>
      </w:r>
      <w:r>
        <w:rPr>
          <w:w w:val="105"/>
        </w:rPr>
        <w:t> </w:t>
      </w:r>
      <w:r>
        <w:rPr>
          <w:i/>
          <w:w w:val="105"/>
        </w:rPr>
        <w:t>Pain Practice,</w:t>
      </w:r>
      <w:r>
        <w:rPr>
          <w:i/>
          <w:w w:val="105"/>
        </w:rPr>
        <w:t> 10(6), </w:t>
      </w:r>
      <w:r>
        <w:rPr>
          <w:w w:val="105"/>
        </w:rPr>
        <w:t>520-529.</w:t>
      </w:r>
    </w:p>
    <w:p>
      <w:pPr>
        <w:pStyle w:val="BodyText"/>
        <w:spacing w:before="6"/>
        <w:ind w:left="920"/>
      </w:pPr>
      <w:r>
        <w:rPr/>
        <w:t>doi:10.l</w:t>
      </w:r>
      <w:r>
        <w:rPr>
          <w:spacing w:val="37"/>
        </w:rPr>
        <w:t> </w:t>
      </w:r>
      <w:r>
        <w:rPr/>
        <w:t>I</w:t>
      </w:r>
      <w:r>
        <w:rPr>
          <w:spacing w:val="31"/>
        </w:rPr>
        <w:t> </w:t>
      </w:r>
      <w:r>
        <w:rPr/>
        <w:t>l</w:t>
      </w:r>
      <w:r>
        <w:rPr>
          <w:spacing w:val="22"/>
        </w:rPr>
        <w:t> </w:t>
      </w:r>
      <w:r>
        <w:rPr/>
        <w:t>l/j.1533-</w:t>
      </w:r>
      <w:r>
        <w:rPr>
          <w:spacing w:val="-2"/>
        </w:rPr>
        <w:t>2500.2010.00383.x</w:t>
      </w:r>
    </w:p>
    <w:p>
      <w:pPr>
        <w:pStyle w:val="BodyText"/>
        <w:spacing w:before="13"/>
      </w:pPr>
    </w:p>
    <w:p>
      <w:pPr>
        <w:pStyle w:val="BodyText"/>
        <w:spacing w:line="249" w:lineRule="auto"/>
        <w:ind w:left="920" w:right="137" w:hanging="421"/>
      </w:pPr>
      <w:r>
        <w:rPr>
          <w:w w:val="105"/>
        </w:rPr>
        <w:t>Skjutar, A., Schult,</w:t>
      </w:r>
      <w:r>
        <w:rPr>
          <w:spacing w:val="27"/>
          <w:w w:val="105"/>
        </w:rPr>
        <w:t> </w:t>
      </w:r>
      <w:r>
        <w:rPr>
          <w:w w:val="105"/>
        </w:rPr>
        <w:t>M., Christensson,</w:t>
      </w:r>
      <w:r>
        <w:rPr>
          <w:spacing w:val="35"/>
          <w:w w:val="105"/>
        </w:rPr>
        <w:t> </w:t>
      </w:r>
      <w:r>
        <w:rPr>
          <w:w w:val="105"/>
        </w:rPr>
        <w:t>K.,</w:t>
      </w:r>
      <w:r>
        <w:rPr>
          <w:spacing w:val="-1"/>
          <w:w w:val="105"/>
        </w:rPr>
        <w:t> </w:t>
      </w:r>
      <w:r>
        <w:rPr>
          <w:w w:val="105"/>
        </w:rPr>
        <w:t>&amp;</w:t>
      </w:r>
      <w:r>
        <w:rPr>
          <w:spacing w:val="24"/>
          <w:w w:val="105"/>
        </w:rPr>
        <w:t> </w:t>
      </w:r>
      <w:r>
        <w:rPr>
          <w:w w:val="105"/>
        </w:rPr>
        <w:t>Mullersdorf,</w:t>
      </w:r>
      <w:r>
        <w:rPr>
          <w:spacing w:val="33"/>
          <w:w w:val="105"/>
        </w:rPr>
        <w:t> </w:t>
      </w:r>
      <w:r>
        <w:rPr>
          <w:w w:val="105"/>
        </w:rPr>
        <w:t>M.</w:t>
      </w:r>
      <w:r>
        <w:rPr>
          <w:spacing w:val="-3"/>
          <w:w w:val="105"/>
        </w:rPr>
        <w:t> </w:t>
      </w:r>
      <w:r>
        <w:rPr>
          <w:w w:val="105"/>
        </w:rPr>
        <w:t>(20</w:t>
      </w:r>
      <w:r>
        <w:rPr>
          <w:spacing w:val="-22"/>
          <w:w w:val="105"/>
        </w:rPr>
        <w:t> </w:t>
      </w:r>
      <w:r>
        <w:rPr>
          <w:w w:val="105"/>
        </w:rPr>
        <w:t>l</w:t>
      </w:r>
      <w:r>
        <w:rPr>
          <w:spacing w:val="-33"/>
          <w:w w:val="105"/>
        </w:rPr>
        <w:t> </w:t>
      </w:r>
      <w:r>
        <w:rPr>
          <w:w w:val="105"/>
        </w:rPr>
        <w:t>0). Indicators of need for</w:t>
      </w:r>
      <w:r>
        <w:rPr>
          <w:spacing w:val="-12"/>
          <w:w w:val="105"/>
        </w:rPr>
        <w:t> </w:t>
      </w:r>
      <w:r>
        <w:rPr>
          <w:w w:val="105"/>
        </w:rPr>
        <w:t>occupational</w:t>
      </w:r>
      <w:r>
        <w:rPr>
          <w:spacing w:val="16"/>
          <w:w w:val="105"/>
        </w:rPr>
        <w:t> </w:t>
      </w:r>
      <w:r>
        <w:rPr>
          <w:w w:val="105"/>
        </w:rPr>
        <w:t>therapy in patients with</w:t>
      </w:r>
      <w:r>
        <w:rPr>
          <w:spacing w:val="-3"/>
          <w:w w:val="105"/>
        </w:rPr>
        <w:t> </w:t>
      </w:r>
      <w:r>
        <w:rPr>
          <w:w w:val="105"/>
        </w:rPr>
        <w:t>chronic pain:</w:t>
      </w:r>
      <w:r>
        <w:rPr>
          <w:spacing w:val="-13"/>
          <w:w w:val="105"/>
        </w:rPr>
        <w:t> </w:t>
      </w:r>
      <w:r>
        <w:rPr>
          <w:w w:val="105"/>
        </w:rPr>
        <w:t>Occupational</w:t>
      </w:r>
      <w:r>
        <w:rPr>
          <w:spacing w:val="16"/>
          <w:w w:val="105"/>
        </w:rPr>
        <w:t> </w:t>
      </w:r>
      <w:r>
        <w:rPr>
          <w:w w:val="105"/>
        </w:rPr>
        <w:t>therapists' focus groups. </w:t>
      </w:r>
      <w:r>
        <w:rPr>
          <w:i/>
          <w:w w:val="105"/>
        </w:rPr>
        <w:t>Occupational</w:t>
      </w:r>
      <w:r>
        <w:rPr>
          <w:i/>
          <w:spacing w:val="35"/>
          <w:w w:val="105"/>
        </w:rPr>
        <w:t> </w:t>
      </w:r>
      <w:r>
        <w:rPr>
          <w:i/>
          <w:w w:val="105"/>
        </w:rPr>
        <w:t>Therapy International,</w:t>
      </w:r>
      <w:r>
        <w:rPr>
          <w:i/>
          <w:spacing w:val="-1"/>
          <w:w w:val="105"/>
        </w:rPr>
        <w:t> </w:t>
      </w:r>
      <w:r>
        <w:rPr>
          <w:i/>
          <w:w w:val="105"/>
        </w:rPr>
        <w:t>17(2),</w:t>
      </w:r>
      <w:r>
        <w:rPr>
          <w:i/>
          <w:spacing w:val="-1"/>
          <w:w w:val="105"/>
        </w:rPr>
        <w:t> </w:t>
      </w:r>
      <w:r>
        <w:rPr>
          <w:w w:val="105"/>
        </w:rPr>
        <w:t>93-103. doi:</w:t>
      </w:r>
      <w:r>
        <w:rPr>
          <w:spacing w:val="-31"/>
          <w:w w:val="105"/>
        </w:rPr>
        <w:t> </w:t>
      </w:r>
      <w:r>
        <w:rPr>
          <w:w w:val="105"/>
        </w:rPr>
        <w:t>I</w:t>
      </w:r>
      <w:r>
        <w:rPr>
          <w:spacing w:val="-25"/>
          <w:w w:val="105"/>
        </w:rPr>
        <w:t> </w:t>
      </w:r>
      <w:r>
        <w:rPr>
          <w:w w:val="105"/>
        </w:rPr>
        <w:t>0. I</w:t>
      </w:r>
      <w:r>
        <w:rPr>
          <w:spacing w:val="-19"/>
          <w:w w:val="105"/>
        </w:rPr>
        <w:t> </w:t>
      </w:r>
      <w:r>
        <w:rPr>
          <w:w w:val="105"/>
        </w:rPr>
        <w:t>002/oti.282</w:t>
      </w:r>
    </w:p>
    <w:p>
      <w:pPr>
        <w:spacing w:after="0" w:line="249" w:lineRule="auto"/>
        <w:sectPr>
          <w:headerReference w:type="default" r:id="rId47"/>
          <w:pgSz w:w="12520" w:h="15750"/>
          <w:pgMar w:header="1034" w:footer="0" w:top="1620" w:bottom="280" w:left="1760" w:right="1760"/>
        </w:sectPr>
      </w:pPr>
    </w:p>
    <w:p>
      <w:pPr>
        <w:pStyle w:val="BodyText"/>
        <w:spacing w:line="247" w:lineRule="auto" w:before="81"/>
        <w:ind w:left="895" w:right="50" w:hanging="420"/>
      </w:pPr>
      <w:r>
        <w:rPr>
          <w:w w:val="105"/>
        </w:rPr>
        <w:t>Soderback,</w:t>
      </w:r>
      <w:r>
        <w:rPr>
          <w:spacing w:val="23"/>
          <w:w w:val="105"/>
        </w:rPr>
        <w:t> </w:t>
      </w:r>
      <w:r>
        <w:rPr>
          <w:w w:val="105"/>
        </w:rPr>
        <w:t>I.</w:t>
      </w:r>
      <w:r>
        <w:rPr>
          <w:spacing w:val="-9"/>
          <w:w w:val="105"/>
        </w:rPr>
        <w:t> </w:t>
      </w:r>
      <w:r>
        <w:rPr>
          <w:w w:val="105"/>
        </w:rPr>
        <w:t>(1999). Validation</w:t>
      </w:r>
      <w:r>
        <w:rPr>
          <w:spacing w:val="18"/>
          <w:w w:val="105"/>
        </w:rPr>
        <w:t> </w:t>
      </w:r>
      <w:r>
        <w:rPr>
          <w:w w:val="105"/>
        </w:rPr>
        <w:t>of</w:t>
      </w:r>
      <w:r>
        <w:rPr>
          <w:spacing w:val="-9"/>
          <w:w w:val="105"/>
        </w:rPr>
        <w:t> </w:t>
      </w:r>
      <w:r>
        <w:rPr>
          <w:w w:val="105"/>
        </w:rPr>
        <w:t>the</w:t>
      </w:r>
      <w:r>
        <w:rPr>
          <w:spacing w:val="-4"/>
          <w:w w:val="105"/>
        </w:rPr>
        <w:t> </w:t>
      </w:r>
      <w:r>
        <w:rPr>
          <w:w w:val="105"/>
        </w:rPr>
        <w:t>theory: Satisfaction</w:t>
      </w:r>
      <w:r>
        <w:rPr>
          <w:spacing w:val="18"/>
          <w:w w:val="105"/>
        </w:rPr>
        <w:t> </w:t>
      </w:r>
      <w:r>
        <w:rPr>
          <w:w w:val="105"/>
        </w:rPr>
        <w:t>with time-delimited</w:t>
      </w:r>
      <w:r>
        <w:rPr>
          <w:spacing w:val="-6"/>
          <w:w w:val="105"/>
        </w:rPr>
        <w:t> </w:t>
      </w:r>
      <w:r>
        <w:rPr>
          <w:w w:val="105"/>
        </w:rPr>
        <w:t>daily occupations. </w:t>
      </w:r>
      <w:r>
        <w:rPr>
          <w:i/>
          <w:w w:val="105"/>
        </w:rPr>
        <w:t>Work, 12(2), </w:t>
      </w:r>
      <w:r>
        <w:rPr>
          <w:w w:val="105"/>
        </w:rPr>
        <w:t>165-174.</w:t>
      </w:r>
    </w:p>
    <w:p>
      <w:pPr>
        <w:pStyle w:val="BodyText"/>
        <w:spacing w:before="13"/>
      </w:pPr>
    </w:p>
    <w:p>
      <w:pPr>
        <w:spacing w:line="247" w:lineRule="auto" w:before="1"/>
        <w:ind w:left="898" w:right="156" w:hanging="425"/>
        <w:jc w:val="left"/>
        <w:rPr>
          <w:sz w:val="22"/>
        </w:rPr>
      </w:pPr>
      <w:r>
        <w:rPr>
          <w:w w:val="105"/>
          <w:sz w:val="22"/>
        </w:rPr>
        <w:t>Terre, L.</w:t>
      </w:r>
      <w:r>
        <w:rPr>
          <w:spacing w:val="-12"/>
          <w:w w:val="105"/>
          <w:sz w:val="22"/>
        </w:rPr>
        <w:t> </w:t>
      </w:r>
      <w:r>
        <w:rPr>
          <w:w w:val="105"/>
          <w:sz w:val="22"/>
        </w:rPr>
        <w:t>(20</w:t>
      </w:r>
      <w:r>
        <w:rPr>
          <w:spacing w:val="-34"/>
          <w:w w:val="105"/>
          <w:sz w:val="22"/>
        </w:rPr>
        <w:t> </w:t>
      </w:r>
      <w:r>
        <w:rPr>
          <w:w w:val="105"/>
          <w:sz w:val="22"/>
        </w:rPr>
        <w:t>l</w:t>
      </w:r>
      <w:r>
        <w:rPr>
          <w:spacing w:val="-26"/>
          <w:w w:val="105"/>
          <w:sz w:val="22"/>
        </w:rPr>
        <w:t> </w:t>
      </w:r>
      <w:r>
        <w:rPr>
          <w:w w:val="105"/>
          <w:sz w:val="22"/>
        </w:rPr>
        <w:t>0).</w:t>
      </w:r>
      <w:r>
        <w:rPr>
          <w:spacing w:val="-5"/>
          <w:w w:val="105"/>
          <w:sz w:val="22"/>
        </w:rPr>
        <w:t> </w:t>
      </w:r>
      <w:r>
        <w:rPr>
          <w:w w:val="105"/>
          <w:sz w:val="22"/>
        </w:rPr>
        <w:t>Does</w:t>
      </w:r>
      <w:r>
        <w:rPr>
          <w:spacing w:val="-13"/>
          <w:w w:val="105"/>
          <w:sz w:val="22"/>
        </w:rPr>
        <w:t> </w:t>
      </w:r>
      <w:r>
        <w:rPr>
          <w:w w:val="105"/>
          <w:sz w:val="22"/>
        </w:rPr>
        <w:t>exercise benefit fibromyalgia?</w:t>
      </w:r>
      <w:r>
        <w:rPr>
          <w:spacing w:val="23"/>
          <w:w w:val="105"/>
          <w:sz w:val="22"/>
        </w:rPr>
        <w:t> </w:t>
      </w:r>
      <w:r>
        <w:rPr>
          <w:i/>
          <w:w w:val="105"/>
          <w:sz w:val="22"/>
        </w:rPr>
        <w:t>American Journal of Lifestyle</w:t>
      </w:r>
      <w:r>
        <w:rPr>
          <w:i/>
          <w:w w:val="105"/>
          <w:sz w:val="22"/>
        </w:rPr>
        <w:t> Medicine, 4(5), </w:t>
      </w:r>
      <w:r>
        <w:rPr>
          <w:w w:val="105"/>
          <w:sz w:val="22"/>
        </w:rPr>
        <w:t>410-412. doi:</w:t>
      </w:r>
      <w:r>
        <w:rPr>
          <w:spacing w:val="-7"/>
          <w:w w:val="105"/>
          <w:sz w:val="22"/>
        </w:rPr>
        <w:t> </w:t>
      </w:r>
      <w:r>
        <w:rPr>
          <w:w w:val="105"/>
          <w:sz w:val="22"/>
        </w:rPr>
        <w:t>l</w:t>
      </w:r>
      <w:r>
        <w:rPr>
          <w:spacing w:val="-11"/>
          <w:w w:val="105"/>
          <w:sz w:val="22"/>
        </w:rPr>
        <w:t> </w:t>
      </w:r>
      <w:r>
        <w:rPr>
          <w:w w:val="105"/>
          <w:sz w:val="22"/>
        </w:rPr>
        <w:t>0.1177/15598276l</w:t>
      </w:r>
      <w:r>
        <w:rPr>
          <w:spacing w:val="-11"/>
          <w:w w:val="105"/>
          <w:sz w:val="22"/>
        </w:rPr>
        <w:t> </w:t>
      </w:r>
      <w:r>
        <w:rPr>
          <w:w w:val="105"/>
          <w:sz w:val="22"/>
        </w:rPr>
        <w:t>0373732</w:t>
      </w:r>
    </w:p>
    <w:p>
      <w:pPr>
        <w:pStyle w:val="BodyText"/>
        <w:spacing w:before="9"/>
      </w:pPr>
    </w:p>
    <w:p>
      <w:pPr>
        <w:pStyle w:val="BodyText"/>
        <w:spacing w:line="249" w:lineRule="auto"/>
        <w:ind w:left="909" w:right="50" w:hanging="436"/>
      </w:pPr>
      <w:r>
        <w:rPr>
          <w:w w:val="105"/>
        </w:rPr>
        <w:t>Tinsley, H. E. A., &amp; Eldredge, B. D. (l 995). Psychological</w:t>
      </w:r>
      <w:r>
        <w:rPr>
          <w:spacing w:val="40"/>
          <w:w w:val="105"/>
        </w:rPr>
        <w:t> </w:t>
      </w:r>
      <w:r>
        <w:rPr>
          <w:w w:val="105"/>
        </w:rPr>
        <w:t>benefits ofleisure participation:</w:t>
      </w:r>
      <w:r>
        <w:rPr>
          <w:spacing w:val="-5"/>
          <w:w w:val="105"/>
        </w:rPr>
        <w:t> </w:t>
      </w:r>
      <w:r>
        <w:rPr>
          <w:w w:val="105"/>
        </w:rPr>
        <w:t>A</w:t>
      </w:r>
      <w:r>
        <w:rPr>
          <w:spacing w:val="-1"/>
          <w:w w:val="105"/>
        </w:rPr>
        <w:t> </w:t>
      </w:r>
      <w:r>
        <w:rPr>
          <w:w w:val="105"/>
        </w:rPr>
        <w:t>taxonomy of leisure activities based on</w:t>
      </w:r>
      <w:r>
        <w:rPr>
          <w:spacing w:val="-1"/>
          <w:w w:val="105"/>
        </w:rPr>
        <w:t> </w:t>
      </w:r>
      <w:r>
        <w:rPr>
          <w:w w:val="105"/>
        </w:rPr>
        <w:t>their need-gratifying properties. </w:t>
      </w:r>
      <w:r>
        <w:rPr>
          <w:i/>
          <w:w w:val="105"/>
        </w:rPr>
        <w:t>Journal of Counseling Psychology, 42(2), </w:t>
      </w:r>
      <w:r>
        <w:rPr>
          <w:w w:val="105"/>
        </w:rPr>
        <w:t>123-132.</w:t>
      </w:r>
    </w:p>
    <w:p>
      <w:pPr>
        <w:pStyle w:val="BodyText"/>
        <w:spacing w:before="5"/>
      </w:pPr>
    </w:p>
    <w:p>
      <w:pPr>
        <w:spacing w:line="249" w:lineRule="auto" w:before="0"/>
        <w:ind w:left="901" w:right="50" w:hanging="428"/>
        <w:jc w:val="left"/>
        <w:rPr>
          <w:sz w:val="22"/>
        </w:rPr>
      </w:pPr>
      <w:r>
        <w:rPr>
          <w:w w:val="105"/>
          <w:sz w:val="22"/>
        </w:rPr>
        <w:t>Tunks, E. R., Crook, J., &amp; Weir, R. (2008). Epidemiology of chronic pain with psychological</w:t>
      </w:r>
      <w:r>
        <w:rPr>
          <w:w w:val="105"/>
          <w:sz w:val="22"/>
        </w:rPr>
        <w:t> comorbidity:</w:t>
      </w:r>
      <w:r>
        <w:rPr>
          <w:w w:val="105"/>
          <w:sz w:val="22"/>
        </w:rPr>
        <w:t> Prevalence,</w:t>
      </w:r>
      <w:r>
        <w:rPr>
          <w:w w:val="105"/>
          <w:sz w:val="22"/>
        </w:rPr>
        <w:t> risk,</w:t>
      </w:r>
      <w:r>
        <w:rPr>
          <w:spacing w:val="-5"/>
          <w:w w:val="105"/>
          <w:sz w:val="22"/>
        </w:rPr>
        <w:t> </w:t>
      </w:r>
      <w:r>
        <w:rPr>
          <w:w w:val="105"/>
          <w:sz w:val="22"/>
        </w:rPr>
        <w:t>course,</w:t>
      </w:r>
      <w:r>
        <w:rPr>
          <w:spacing w:val="-6"/>
          <w:w w:val="105"/>
          <w:sz w:val="22"/>
        </w:rPr>
        <w:t> </w:t>
      </w:r>
      <w:r>
        <w:rPr>
          <w:w w:val="105"/>
          <w:sz w:val="22"/>
        </w:rPr>
        <w:t>and prognosis.</w:t>
      </w:r>
      <w:r>
        <w:rPr>
          <w:w w:val="105"/>
          <w:sz w:val="22"/>
        </w:rPr>
        <w:t> </w:t>
      </w:r>
      <w:r>
        <w:rPr>
          <w:i/>
          <w:w w:val="105"/>
          <w:sz w:val="22"/>
        </w:rPr>
        <w:t>The</w:t>
      </w:r>
      <w:r>
        <w:rPr>
          <w:i/>
          <w:spacing w:val="-8"/>
          <w:w w:val="105"/>
          <w:sz w:val="22"/>
        </w:rPr>
        <w:t> </w:t>
      </w:r>
      <w:r>
        <w:rPr>
          <w:i/>
          <w:w w:val="105"/>
          <w:sz w:val="22"/>
        </w:rPr>
        <w:t>Canadian</w:t>
      </w:r>
      <w:r>
        <w:rPr>
          <w:i/>
          <w:w w:val="105"/>
          <w:sz w:val="22"/>
        </w:rPr>
        <w:t> Journal of Psychiatry, 53(4), </w:t>
      </w:r>
      <w:r>
        <w:rPr>
          <w:w w:val="105"/>
          <w:sz w:val="22"/>
        </w:rPr>
        <w:t>224-234.</w:t>
      </w:r>
    </w:p>
    <w:p>
      <w:pPr>
        <w:pStyle w:val="BodyText"/>
        <w:spacing w:before="1"/>
      </w:pPr>
    </w:p>
    <w:p>
      <w:pPr>
        <w:pStyle w:val="BodyText"/>
        <w:ind w:left="478"/>
      </w:pPr>
      <w:r>
        <w:rPr>
          <w:w w:val="105"/>
        </w:rPr>
        <w:t>Turk,</w:t>
      </w:r>
      <w:r>
        <w:rPr>
          <w:spacing w:val="11"/>
          <w:w w:val="105"/>
        </w:rPr>
        <w:t> </w:t>
      </w:r>
      <w:r>
        <w:rPr>
          <w:w w:val="105"/>
        </w:rPr>
        <w:t>D.</w:t>
      </w:r>
      <w:r>
        <w:rPr>
          <w:spacing w:val="-5"/>
          <w:w w:val="105"/>
        </w:rPr>
        <w:t> </w:t>
      </w:r>
      <w:r>
        <w:rPr>
          <w:w w:val="105"/>
        </w:rPr>
        <w:t>C.,</w:t>
      </w:r>
      <w:r>
        <w:rPr>
          <w:spacing w:val="7"/>
          <w:w w:val="105"/>
        </w:rPr>
        <w:t> </w:t>
      </w:r>
      <w:r>
        <w:rPr>
          <w:w w:val="105"/>
        </w:rPr>
        <w:t>Vierck,</w:t>
      </w:r>
      <w:r>
        <w:rPr>
          <w:spacing w:val="3"/>
          <w:w w:val="105"/>
        </w:rPr>
        <w:t> </w:t>
      </w:r>
      <w:r>
        <w:rPr>
          <w:w w:val="105"/>
        </w:rPr>
        <w:t>C.</w:t>
      </w:r>
      <w:r>
        <w:rPr>
          <w:spacing w:val="-8"/>
          <w:w w:val="105"/>
        </w:rPr>
        <w:t> </w:t>
      </w:r>
      <w:r>
        <w:rPr>
          <w:w w:val="105"/>
        </w:rPr>
        <w:t>J., Scarbrough,</w:t>
      </w:r>
      <w:r>
        <w:rPr>
          <w:spacing w:val="22"/>
          <w:w w:val="105"/>
        </w:rPr>
        <w:t> </w:t>
      </w:r>
      <w:r>
        <w:rPr>
          <w:w w:val="105"/>
        </w:rPr>
        <w:t>E.,</w:t>
      </w:r>
      <w:r>
        <w:rPr>
          <w:spacing w:val="1"/>
          <w:w w:val="105"/>
        </w:rPr>
        <w:t> </w:t>
      </w:r>
      <w:r>
        <w:rPr>
          <w:w w:val="105"/>
        </w:rPr>
        <w:t>Crofford,</w:t>
      </w:r>
      <w:r>
        <w:rPr>
          <w:spacing w:val="22"/>
          <w:w w:val="105"/>
        </w:rPr>
        <w:t> </w:t>
      </w:r>
      <w:r>
        <w:rPr>
          <w:w w:val="105"/>
        </w:rPr>
        <w:t>L.</w:t>
      </w:r>
      <w:r>
        <w:rPr>
          <w:spacing w:val="-7"/>
          <w:w w:val="105"/>
        </w:rPr>
        <w:t> </w:t>
      </w:r>
      <w:r>
        <w:rPr>
          <w:w w:val="105"/>
        </w:rPr>
        <w:t>J.,</w:t>
      </w:r>
      <w:r>
        <w:rPr>
          <w:spacing w:val="-4"/>
          <w:w w:val="105"/>
        </w:rPr>
        <w:t> </w:t>
      </w:r>
      <w:r>
        <w:rPr>
          <w:w w:val="105"/>
        </w:rPr>
        <w:t>&amp;</w:t>
      </w:r>
      <w:r>
        <w:rPr>
          <w:spacing w:val="8"/>
          <w:w w:val="105"/>
        </w:rPr>
        <w:t> </w:t>
      </w:r>
      <w:r>
        <w:rPr>
          <w:w w:val="105"/>
        </w:rPr>
        <w:t>Rudin,</w:t>
      </w:r>
      <w:r>
        <w:rPr>
          <w:spacing w:val="7"/>
          <w:w w:val="105"/>
        </w:rPr>
        <w:t> </w:t>
      </w:r>
      <w:r>
        <w:rPr>
          <w:w w:val="105"/>
        </w:rPr>
        <w:t>N.</w:t>
      </w:r>
      <w:r>
        <w:rPr>
          <w:spacing w:val="-5"/>
          <w:w w:val="105"/>
        </w:rPr>
        <w:t> </w:t>
      </w:r>
      <w:r>
        <w:rPr>
          <w:w w:val="105"/>
        </w:rPr>
        <w:t>J.</w:t>
      </w:r>
      <w:r>
        <w:rPr>
          <w:spacing w:val="5"/>
          <w:w w:val="105"/>
        </w:rPr>
        <w:t> </w:t>
      </w:r>
      <w:r>
        <w:rPr>
          <w:spacing w:val="-2"/>
          <w:w w:val="105"/>
        </w:rPr>
        <w:t>(2008).</w:t>
      </w:r>
    </w:p>
    <w:p>
      <w:pPr>
        <w:pStyle w:val="BodyText"/>
        <w:spacing w:line="247" w:lineRule="auto" w:before="11"/>
        <w:ind w:left="901" w:right="50" w:firstLine="8"/>
      </w:pPr>
      <w:r>
        <w:rPr>
          <w:w w:val="105"/>
        </w:rPr>
        <w:t>Fibromyalgia: Combining</w:t>
      </w:r>
      <w:r>
        <w:rPr>
          <w:w w:val="105"/>
        </w:rPr>
        <w:t> pharmacological and nonpharmacological</w:t>
      </w:r>
      <w:r>
        <w:rPr>
          <w:spacing w:val="-6"/>
          <w:w w:val="105"/>
        </w:rPr>
        <w:t> </w:t>
      </w:r>
      <w:r>
        <w:rPr>
          <w:w w:val="105"/>
        </w:rPr>
        <w:t>approaches to treating the person, not just the pain. </w:t>
      </w:r>
      <w:r>
        <w:rPr>
          <w:i/>
          <w:w w:val="105"/>
        </w:rPr>
        <w:t>The Journal of Pain,</w:t>
      </w:r>
      <w:r>
        <w:rPr>
          <w:i/>
          <w:spacing w:val="-1"/>
          <w:w w:val="105"/>
        </w:rPr>
        <w:t> </w:t>
      </w:r>
      <w:r>
        <w:rPr>
          <w:w w:val="105"/>
        </w:rPr>
        <w:t>9(2), 99-104.</w:t>
      </w:r>
    </w:p>
    <w:p>
      <w:pPr>
        <w:pStyle w:val="BodyText"/>
        <w:spacing w:before="4"/>
      </w:pPr>
    </w:p>
    <w:p>
      <w:pPr>
        <w:pStyle w:val="BodyText"/>
        <w:spacing w:before="1"/>
        <w:ind w:left="488"/>
      </w:pPr>
      <w:r>
        <w:rPr>
          <w:w w:val="105"/>
        </w:rPr>
        <w:t>Uguz,</w:t>
      </w:r>
      <w:r>
        <w:rPr>
          <w:spacing w:val="7"/>
          <w:w w:val="105"/>
        </w:rPr>
        <w:t> </w:t>
      </w:r>
      <w:r>
        <w:rPr>
          <w:w w:val="105"/>
        </w:rPr>
        <w:t>F.,</w:t>
      </w:r>
      <w:r>
        <w:rPr>
          <w:spacing w:val="-5"/>
          <w:w w:val="105"/>
        </w:rPr>
        <w:t> </w:t>
      </w:r>
      <w:r>
        <w:rPr>
          <w:w w:val="105"/>
        </w:rPr>
        <w:t>Cicek,</w:t>
      </w:r>
      <w:r>
        <w:rPr>
          <w:spacing w:val="2"/>
          <w:w w:val="105"/>
        </w:rPr>
        <w:t> </w:t>
      </w:r>
      <w:r>
        <w:rPr>
          <w:w w:val="105"/>
        </w:rPr>
        <w:t>E.,</w:t>
      </w:r>
      <w:r>
        <w:rPr>
          <w:spacing w:val="-1"/>
          <w:w w:val="105"/>
        </w:rPr>
        <w:t> </w:t>
      </w:r>
      <w:r>
        <w:rPr>
          <w:w w:val="105"/>
        </w:rPr>
        <w:t>Salli,</w:t>
      </w:r>
      <w:r>
        <w:rPr>
          <w:spacing w:val="-4"/>
          <w:w w:val="105"/>
        </w:rPr>
        <w:t> </w:t>
      </w:r>
      <w:r>
        <w:rPr>
          <w:w w:val="105"/>
        </w:rPr>
        <w:t>A.,</w:t>
      </w:r>
      <w:r>
        <w:rPr>
          <w:spacing w:val="6"/>
          <w:w w:val="105"/>
        </w:rPr>
        <w:t> </w:t>
      </w:r>
      <w:r>
        <w:rPr>
          <w:w w:val="105"/>
        </w:rPr>
        <w:t>Karahan,</w:t>
      </w:r>
      <w:r>
        <w:rPr>
          <w:spacing w:val="8"/>
          <w:w w:val="105"/>
        </w:rPr>
        <w:t> </w:t>
      </w:r>
      <w:r>
        <w:rPr>
          <w:w w:val="105"/>
        </w:rPr>
        <w:t>A.</w:t>
      </w:r>
      <w:r>
        <w:rPr>
          <w:spacing w:val="-5"/>
          <w:w w:val="105"/>
        </w:rPr>
        <w:t> </w:t>
      </w:r>
      <w:r>
        <w:rPr>
          <w:w w:val="105"/>
        </w:rPr>
        <w:t>Y.,</w:t>
      </w:r>
      <w:r>
        <w:rPr>
          <w:spacing w:val="2"/>
          <w:w w:val="105"/>
        </w:rPr>
        <w:t> </w:t>
      </w:r>
      <w:r>
        <w:rPr>
          <w:w w:val="105"/>
        </w:rPr>
        <w:t>Albayrak,</w:t>
      </w:r>
      <w:r>
        <w:rPr>
          <w:spacing w:val="23"/>
          <w:w w:val="105"/>
        </w:rPr>
        <w:t> </w:t>
      </w:r>
      <w:r>
        <w:rPr>
          <w:w w:val="105"/>
        </w:rPr>
        <w:t>I.,</w:t>
      </w:r>
      <w:r>
        <w:rPr>
          <w:spacing w:val="-2"/>
          <w:w w:val="105"/>
        </w:rPr>
        <w:t> </w:t>
      </w:r>
      <w:r>
        <w:rPr>
          <w:w w:val="105"/>
        </w:rPr>
        <w:t>Kaya,</w:t>
      </w:r>
      <w:r>
        <w:rPr>
          <w:spacing w:val="4"/>
          <w:w w:val="105"/>
        </w:rPr>
        <w:t> </w:t>
      </w:r>
      <w:r>
        <w:rPr>
          <w:w w:val="105"/>
        </w:rPr>
        <w:t>N.,</w:t>
      </w:r>
      <w:r>
        <w:rPr>
          <w:spacing w:val="7"/>
          <w:w w:val="105"/>
        </w:rPr>
        <w:t> </w:t>
      </w:r>
      <w:r>
        <w:rPr>
          <w:w w:val="105"/>
        </w:rPr>
        <w:t>Ugurlu,</w:t>
      </w:r>
      <w:r>
        <w:rPr>
          <w:spacing w:val="19"/>
          <w:w w:val="105"/>
        </w:rPr>
        <w:t> </w:t>
      </w:r>
      <w:r>
        <w:rPr>
          <w:w w:val="105"/>
        </w:rPr>
        <w:t>H.</w:t>
      </w:r>
      <w:r>
        <w:rPr>
          <w:spacing w:val="-2"/>
          <w:w w:val="105"/>
        </w:rPr>
        <w:t> (2010).</w:t>
      </w:r>
    </w:p>
    <w:p>
      <w:pPr>
        <w:spacing w:line="247" w:lineRule="auto" w:before="11"/>
        <w:ind w:left="913" w:right="50" w:hanging="8"/>
        <w:jc w:val="left"/>
        <w:rPr>
          <w:sz w:val="22"/>
        </w:rPr>
      </w:pPr>
      <w:r>
        <w:rPr>
          <w:w w:val="105"/>
          <w:sz w:val="22"/>
        </w:rPr>
        <w:t>Axis</w:t>
      </w:r>
      <w:r>
        <w:rPr>
          <w:spacing w:val="-3"/>
          <w:w w:val="105"/>
          <w:sz w:val="22"/>
        </w:rPr>
        <w:t> </w:t>
      </w:r>
      <w:r>
        <w:rPr>
          <w:w w:val="105"/>
          <w:sz w:val="22"/>
        </w:rPr>
        <w:t>I</w:t>
      </w:r>
      <w:r>
        <w:rPr>
          <w:spacing w:val="-6"/>
          <w:w w:val="105"/>
          <w:sz w:val="22"/>
        </w:rPr>
        <w:t> </w:t>
      </w:r>
      <w:r>
        <w:rPr>
          <w:w w:val="105"/>
          <w:sz w:val="22"/>
        </w:rPr>
        <w:t>and Axis</w:t>
      </w:r>
      <w:r>
        <w:rPr>
          <w:spacing w:val="-3"/>
          <w:w w:val="105"/>
          <w:sz w:val="22"/>
        </w:rPr>
        <w:t> </w:t>
      </w:r>
      <w:r>
        <w:rPr>
          <w:w w:val="105"/>
          <w:sz w:val="22"/>
        </w:rPr>
        <w:t>II</w:t>
      </w:r>
      <w:r>
        <w:rPr>
          <w:spacing w:val="-1"/>
          <w:w w:val="105"/>
          <w:sz w:val="22"/>
        </w:rPr>
        <w:t> </w:t>
      </w:r>
      <w:r>
        <w:rPr>
          <w:w w:val="105"/>
          <w:sz w:val="22"/>
        </w:rPr>
        <w:t>psychiatric</w:t>
      </w:r>
      <w:r>
        <w:rPr>
          <w:spacing w:val="-2"/>
          <w:w w:val="105"/>
          <w:sz w:val="22"/>
        </w:rPr>
        <w:t> </w:t>
      </w:r>
      <w:r>
        <w:rPr>
          <w:w w:val="105"/>
          <w:sz w:val="22"/>
        </w:rPr>
        <w:t>disorders in patients with fibromyalgia. </w:t>
      </w:r>
      <w:r>
        <w:rPr>
          <w:i/>
          <w:w w:val="105"/>
          <w:sz w:val="22"/>
        </w:rPr>
        <w:t>General</w:t>
      </w:r>
      <w:r>
        <w:rPr>
          <w:i/>
          <w:w w:val="105"/>
          <w:sz w:val="22"/>
        </w:rPr>
        <w:t> Hospital Psychiatry, 32(1</w:t>
      </w:r>
      <w:r>
        <w:rPr>
          <w:i/>
          <w:spacing w:val="-28"/>
          <w:w w:val="105"/>
          <w:sz w:val="22"/>
        </w:rPr>
        <w:t> </w:t>
      </w:r>
      <w:r>
        <w:rPr>
          <w:w w:val="105"/>
          <w:sz w:val="22"/>
        </w:rPr>
        <w:t>), l</w:t>
      </w:r>
      <w:r>
        <w:rPr>
          <w:spacing w:val="-20"/>
          <w:w w:val="105"/>
          <w:sz w:val="22"/>
        </w:rPr>
        <w:t> </w:t>
      </w:r>
      <w:r>
        <w:rPr>
          <w:w w:val="105"/>
          <w:sz w:val="22"/>
        </w:rPr>
        <w:t>05-107.</w:t>
      </w:r>
    </w:p>
    <w:p>
      <w:pPr>
        <w:pStyle w:val="BodyText"/>
        <w:spacing w:before="4"/>
      </w:pPr>
    </w:p>
    <w:p>
      <w:pPr>
        <w:pStyle w:val="BodyText"/>
        <w:spacing w:line="249" w:lineRule="auto"/>
        <w:ind w:left="900" w:right="156" w:hanging="409"/>
      </w:pPr>
      <w:r>
        <w:rPr>
          <w:w w:val="105"/>
        </w:rPr>
        <w:t>Verbunt, J. A., Pernot, D.</w:t>
      </w:r>
      <w:r>
        <w:rPr>
          <w:spacing w:val="-1"/>
          <w:w w:val="105"/>
        </w:rPr>
        <w:t> </w:t>
      </w:r>
      <w:r>
        <w:rPr>
          <w:w w:val="105"/>
        </w:rPr>
        <w:t>H.F. M.,</w:t>
      </w:r>
      <w:r>
        <w:rPr>
          <w:spacing w:val="-2"/>
          <w:w w:val="105"/>
        </w:rPr>
        <w:t> </w:t>
      </w:r>
      <w:r>
        <w:rPr>
          <w:w w:val="105"/>
        </w:rPr>
        <w:t>&amp;</w:t>
      </w:r>
      <w:r>
        <w:rPr>
          <w:spacing w:val="-2"/>
          <w:w w:val="105"/>
        </w:rPr>
        <w:t> </w:t>
      </w:r>
      <w:r>
        <w:rPr>
          <w:w w:val="105"/>
        </w:rPr>
        <w:t>Smeets, R.</w:t>
      </w:r>
      <w:r>
        <w:rPr>
          <w:spacing w:val="-5"/>
          <w:w w:val="105"/>
        </w:rPr>
        <w:t> </w:t>
      </w:r>
      <w:r>
        <w:rPr>
          <w:w w:val="105"/>
        </w:rPr>
        <w:t>J. (2008). Disability and quality of life in</w:t>
      </w:r>
      <w:r>
        <w:rPr>
          <w:spacing w:val="31"/>
          <w:w w:val="105"/>
        </w:rPr>
        <w:t> </w:t>
      </w:r>
      <w:r>
        <w:rPr>
          <w:w w:val="105"/>
        </w:rPr>
        <w:t>patients with fibromyalgia.</w:t>
      </w:r>
      <w:r>
        <w:rPr>
          <w:spacing w:val="39"/>
          <w:w w:val="105"/>
        </w:rPr>
        <w:t> </w:t>
      </w:r>
      <w:r>
        <w:rPr>
          <w:i/>
          <w:w w:val="105"/>
        </w:rPr>
        <w:t>Health and Quality of Life Outcomes, </w:t>
      </w:r>
      <w:r>
        <w:rPr>
          <w:w w:val="105"/>
        </w:rPr>
        <w:t>6(8), 8. doi:10.1 l</w:t>
      </w:r>
      <w:r>
        <w:rPr>
          <w:spacing w:val="-6"/>
          <w:w w:val="105"/>
        </w:rPr>
        <w:t> </w:t>
      </w:r>
      <w:r>
        <w:rPr>
          <w:w w:val="105"/>
        </w:rPr>
        <w:t>86/l 477-7525-6-8</w:t>
      </w:r>
    </w:p>
    <w:p>
      <w:pPr>
        <w:pStyle w:val="BodyText"/>
        <w:spacing w:before="1"/>
      </w:pPr>
    </w:p>
    <w:p>
      <w:pPr>
        <w:pStyle w:val="BodyText"/>
        <w:ind w:left="496"/>
      </w:pPr>
      <w:r>
        <w:rPr>
          <w:w w:val="105"/>
        </w:rPr>
        <w:t>Wolfe,</w:t>
      </w:r>
      <w:r>
        <w:rPr>
          <w:spacing w:val="6"/>
          <w:w w:val="105"/>
        </w:rPr>
        <w:t> </w:t>
      </w:r>
      <w:r>
        <w:rPr>
          <w:w w:val="105"/>
        </w:rPr>
        <w:t>F.,</w:t>
      </w:r>
      <w:r>
        <w:rPr>
          <w:spacing w:val="-4"/>
          <w:w w:val="105"/>
        </w:rPr>
        <w:t> </w:t>
      </w:r>
      <w:r>
        <w:rPr>
          <w:w w:val="105"/>
        </w:rPr>
        <w:t>Clauw,</w:t>
      </w:r>
      <w:r>
        <w:rPr>
          <w:spacing w:val="16"/>
          <w:w w:val="105"/>
        </w:rPr>
        <w:t> </w:t>
      </w:r>
      <w:r>
        <w:rPr>
          <w:w w:val="105"/>
        </w:rPr>
        <w:t>D.</w:t>
      </w:r>
      <w:r>
        <w:rPr>
          <w:spacing w:val="-12"/>
          <w:w w:val="105"/>
        </w:rPr>
        <w:t> </w:t>
      </w:r>
      <w:r>
        <w:rPr>
          <w:w w:val="105"/>
        </w:rPr>
        <w:t>J.,</w:t>
      </w:r>
      <w:r>
        <w:rPr>
          <w:spacing w:val="4"/>
          <w:w w:val="105"/>
        </w:rPr>
        <w:t> </w:t>
      </w:r>
      <w:r>
        <w:rPr>
          <w:w w:val="105"/>
        </w:rPr>
        <w:t>Fitzcharles,</w:t>
      </w:r>
      <w:r>
        <w:rPr>
          <w:spacing w:val="20"/>
          <w:w w:val="105"/>
        </w:rPr>
        <w:t> </w:t>
      </w:r>
      <w:r>
        <w:rPr>
          <w:w w:val="105"/>
        </w:rPr>
        <w:t>M.,</w:t>
      </w:r>
      <w:r>
        <w:rPr>
          <w:spacing w:val="-2"/>
          <w:w w:val="105"/>
        </w:rPr>
        <w:t> </w:t>
      </w:r>
      <w:r>
        <w:rPr>
          <w:w w:val="105"/>
        </w:rPr>
        <w:t>Goldenberg,</w:t>
      </w:r>
      <w:r>
        <w:rPr>
          <w:spacing w:val="11"/>
          <w:w w:val="105"/>
        </w:rPr>
        <w:t> </w:t>
      </w:r>
      <w:r>
        <w:rPr>
          <w:w w:val="105"/>
        </w:rPr>
        <w:t>D.</w:t>
      </w:r>
      <w:r>
        <w:rPr>
          <w:spacing w:val="2"/>
          <w:w w:val="105"/>
        </w:rPr>
        <w:t> </w:t>
      </w:r>
      <w:r>
        <w:rPr>
          <w:w w:val="105"/>
        </w:rPr>
        <w:t>L.,</w:t>
      </w:r>
      <w:r>
        <w:rPr>
          <w:spacing w:val="5"/>
          <w:w w:val="105"/>
        </w:rPr>
        <w:t> </w:t>
      </w:r>
      <w:r>
        <w:rPr>
          <w:w w:val="105"/>
        </w:rPr>
        <w:t>Katz,</w:t>
      </w:r>
      <w:r>
        <w:rPr>
          <w:spacing w:val="6"/>
          <w:w w:val="105"/>
        </w:rPr>
        <w:t> </w:t>
      </w:r>
      <w:r>
        <w:rPr>
          <w:w w:val="105"/>
        </w:rPr>
        <w:t>R.</w:t>
      </w:r>
      <w:r>
        <w:rPr>
          <w:spacing w:val="-15"/>
          <w:w w:val="105"/>
        </w:rPr>
        <w:t> </w:t>
      </w:r>
      <w:r>
        <w:rPr>
          <w:w w:val="105"/>
        </w:rPr>
        <w:t>S.,</w:t>
      </w:r>
      <w:r>
        <w:rPr>
          <w:spacing w:val="3"/>
          <w:w w:val="105"/>
        </w:rPr>
        <w:t> </w:t>
      </w:r>
      <w:r>
        <w:rPr>
          <w:w w:val="105"/>
        </w:rPr>
        <w:t>Mease,</w:t>
      </w:r>
      <w:r>
        <w:rPr>
          <w:spacing w:val="15"/>
          <w:w w:val="105"/>
        </w:rPr>
        <w:t> </w:t>
      </w:r>
      <w:r>
        <w:rPr>
          <w:w w:val="105"/>
        </w:rPr>
        <w:t>P.,</w:t>
      </w:r>
      <w:r>
        <w:rPr>
          <w:spacing w:val="5"/>
          <w:w w:val="105"/>
        </w:rPr>
        <w:t> </w:t>
      </w:r>
      <w:r>
        <w:rPr>
          <w:spacing w:val="-5"/>
          <w:w w:val="105"/>
        </w:rPr>
        <w:t>...</w:t>
      </w:r>
    </w:p>
    <w:p>
      <w:pPr>
        <w:pStyle w:val="BodyText"/>
        <w:spacing w:line="249" w:lineRule="auto" w:before="11"/>
        <w:ind w:left="905" w:right="50" w:firstLine="10"/>
      </w:pPr>
      <w:r>
        <w:rPr>
          <w:w w:val="105"/>
        </w:rPr>
        <w:t>Yunus, M. B.</w:t>
      </w:r>
      <w:r>
        <w:rPr>
          <w:spacing w:val="-2"/>
          <w:w w:val="105"/>
        </w:rPr>
        <w:t> </w:t>
      </w:r>
      <w:r>
        <w:rPr>
          <w:w w:val="105"/>
        </w:rPr>
        <w:t>(2010). The</w:t>
      </w:r>
      <w:r>
        <w:rPr>
          <w:spacing w:val="-3"/>
          <w:w w:val="105"/>
        </w:rPr>
        <w:t> </w:t>
      </w:r>
      <w:r>
        <w:rPr>
          <w:w w:val="105"/>
        </w:rPr>
        <w:t>american-college-of-rheumatology</w:t>
      </w:r>
      <w:r>
        <w:rPr>
          <w:spacing w:val="-13"/>
          <w:w w:val="105"/>
        </w:rPr>
        <w:t> </w:t>
      </w:r>
      <w:r>
        <w:rPr>
          <w:w w:val="105"/>
        </w:rPr>
        <w:t>preliminary</w:t>
      </w:r>
      <w:r>
        <w:rPr>
          <w:spacing w:val="21"/>
          <w:w w:val="105"/>
        </w:rPr>
        <w:t> </w:t>
      </w:r>
      <w:r>
        <w:rPr>
          <w:w w:val="105"/>
        </w:rPr>
        <w:t>diagnostic criteria for fibromyalgia and measurement of symptom severity. </w:t>
      </w:r>
      <w:r>
        <w:rPr>
          <w:i/>
          <w:w w:val="105"/>
        </w:rPr>
        <w:t>Arthritis Care and</w:t>
      </w:r>
      <w:r>
        <w:rPr>
          <w:i/>
          <w:w w:val="105"/>
        </w:rPr>
        <w:t> Research, 62(5), </w:t>
      </w:r>
      <w:r>
        <w:rPr>
          <w:w w:val="105"/>
        </w:rPr>
        <w:t>600-610.</w:t>
      </w:r>
    </w:p>
    <w:p>
      <w:pPr>
        <w:pStyle w:val="BodyText"/>
        <w:spacing w:before="1"/>
      </w:pPr>
    </w:p>
    <w:p>
      <w:pPr>
        <w:pStyle w:val="BodyText"/>
        <w:spacing w:line="249" w:lineRule="auto"/>
        <w:ind w:left="905" w:right="127" w:hanging="409"/>
        <w:jc w:val="both"/>
      </w:pPr>
      <w:r>
        <w:rPr>
          <w:w w:val="105"/>
        </w:rPr>
        <w:t>Wolfe, F., Ross, K.,</w:t>
      </w:r>
      <w:r>
        <w:rPr>
          <w:spacing w:val="-1"/>
          <w:w w:val="105"/>
        </w:rPr>
        <w:t> </w:t>
      </w:r>
      <w:r>
        <w:rPr>
          <w:w w:val="105"/>
        </w:rPr>
        <w:t>Anderson, J., Russell,</w:t>
      </w:r>
      <w:r>
        <w:rPr>
          <w:w w:val="105"/>
        </w:rPr>
        <w:t> I.</w:t>
      </w:r>
      <w:r>
        <w:rPr>
          <w:spacing w:val="-9"/>
          <w:w w:val="105"/>
        </w:rPr>
        <w:t> </w:t>
      </w:r>
      <w:r>
        <w:rPr>
          <w:w w:val="105"/>
        </w:rPr>
        <w:t>J.,</w:t>
      </w:r>
      <w:r>
        <w:rPr>
          <w:spacing w:val="-8"/>
          <w:w w:val="105"/>
        </w:rPr>
        <w:t> </w:t>
      </w:r>
      <w:r>
        <w:rPr>
          <w:w w:val="105"/>
        </w:rPr>
        <w:t>&amp; Hebert, L.</w:t>
      </w:r>
      <w:r>
        <w:rPr>
          <w:spacing w:val="-9"/>
          <w:w w:val="105"/>
        </w:rPr>
        <w:t> </w:t>
      </w:r>
      <w:r>
        <w:rPr>
          <w:w w:val="105"/>
        </w:rPr>
        <w:t>(1995).</w:t>
      </w:r>
      <w:r>
        <w:rPr>
          <w:spacing w:val="-6"/>
          <w:w w:val="105"/>
        </w:rPr>
        <w:t> </w:t>
      </w:r>
      <w:r>
        <w:rPr>
          <w:w w:val="105"/>
        </w:rPr>
        <w:t>The prevalence and characteristics</w:t>
      </w:r>
      <w:r>
        <w:rPr>
          <w:spacing w:val="-8"/>
          <w:w w:val="105"/>
        </w:rPr>
        <w:t> </w:t>
      </w:r>
      <w:r>
        <w:rPr>
          <w:w w:val="105"/>
        </w:rPr>
        <w:t>of fibromyalgia</w:t>
      </w:r>
      <w:r>
        <w:rPr>
          <w:spacing w:val="29"/>
          <w:w w:val="105"/>
        </w:rPr>
        <w:t> </w:t>
      </w:r>
      <w:r>
        <w:rPr>
          <w:w w:val="105"/>
        </w:rPr>
        <w:t>in the general-population. </w:t>
      </w:r>
      <w:r>
        <w:rPr>
          <w:i/>
          <w:w w:val="105"/>
        </w:rPr>
        <w:t>Arthritis and Rheumatism,</w:t>
      </w:r>
      <w:r>
        <w:rPr>
          <w:i/>
          <w:w w:val="105"/>
        </w:rPr>
        <w:t> 38(1</w:t>
      </w:r>
      <w:r>
        <w:rPr>
          <w:i/>
          <w:spacing w:val="-18"/>
          <w:w w:val="105"/>
        </w:rPr>
        <w:t> </w:t>
      </w:r>
      <w:r>
        <w:rPr>
          <w:w w:val="105"/>
        </w:rPr>
        <w:t>), 19-28.</w:t>
      </w:r>
    </w:p>
    <w:p>
      <w:pPr>
        <w:pStyle w:val="BodyText"/>
      </w:pPr>
    </w:p>
    <w:p>
      <w:pPr>
        <w:pStyle w:val="BodyText"/>
        <w:spacing w:before="1"/>
        <w:ind w:left="501"/>
        <w:jc w:val="both"/>
      </w:pPr>
      <w:r>
        <w:rPr>
          <w:w w:val="105"/>
        </w:rPr>
        <w:t>Wolfe,</w:t>
      </w:r>
      <w:r>
        <w:rPr>
          <w:spacing w:val="7"/>
          <w:w w:val="105"/>
        </w:rPr>
        <w:t> </w:t>
      </w:r>
      <w:r>
        <w:rPr>
          <w:w w:val="105"/>
        </w:rPr>
        <w:t>F.,</w:t>
      </w:r>
      <w:r>
        <w:rPr>
          <w:spacing w:val="-5"/>
          <w:w w:val="105"/>
        </w:rPr>
        <w:t> </w:t>
      </w:r>
      <w:r>
        <w:rPr>
          <w:w w:val="105"/>
        </w:rPr>
        <w:t>Smythe,</w:t>
      </w:r>
      <w:r>
        <w:rPr>
          <w:spacing w:val="12"/>
          <w:w w:val="105"/>
        </w:rPr>
        <w:t> </w:t>
      </w:r>
      <w:r>
        <w:rPr>
          <w:w w:val="105"/>
        </w:rPr>
        <w:t>H.</w:t>
      </w:r>
      <w:r>
        <w:rPr>
          <w:spacing w:val="-8"/>
          <w:w w:val="105"/>
        </w:rPr>
        <w:t> </w:t>
      </w:r>
      <w:r>
        <w:rPr>
          <w:w w:val="105"/>
        </w:rPr>
        <w:t>A.,</w:t>
      </w:r>
      <w:r>
        <w:rPr>
          <w:spacing w:val="-3"/>
          <w:w w:val="105"/>
        </w:rPr>
        <w:t> </w:t>
      </w:r>
      <w:r>
        <w:rPr>
          <w:w w:val="105"/>
        </w:rPr>
        <w:t>Yunus,</w:t>
      </w:r>
      <w:r>
        <w:rPr>
          <w:spacing w:val="10"/>
          <w:w w:val="105"/>
        </w:rPr>
        <w:t> </w:t>
      </w:r>
      <w:r>
        <w:rPr>
          <w:w w:val="105"/>
        </w:rPr>
        <w:t>M.</w:t>
      </w:r>
      <w:r>
        <w:rPr>
          <w:spacing w:val="-1"/>
          <w:w w:val="105"/>
        </w:rPr>
        <w:t> </w:t>
      </w:r>
      <w:r>
        <w:rPr>
          <w:w w:val="105"/>
        </w:rPr>
        <w:t>B.,</w:t>
      </w:r>
      <w:r>
        <w:rPr>
          <w:spacing w:val="6"/>
          <w:w w:val="105"/>
        </w:rPr>
        <w:t> </w:t>
      </w:r>
      <w:r>
        <w:rPr>
          <w:w w:val="105"/>
        </w:rPr>
        <w:t>Bennette,</w:t>
      </w:r>
      <w:r>
        <w:rPr>
          <w:spacing w:val="15"/>
          <w:w w:val="105"/>
        </w:rPr>
        <w:t> </w:t>
      </w:r>
      <w:r>
        <w:rPr>
          <w:w w:val="105"/>
        </w:rPr>
        <w:t>R.</w:t>
      </w:r>
      <w:r>
        <w:rPr>
          <w:spacing w:val="-5"/>
          <w:w w:val="105"/>
        </w:rPr>
        <w:t> </w:t>
      </w:r>
      <w:r>
        <w:rPr>
          <w:w w:val="105"/>
        </w:rPr>
        <w:t>M.,</w:t>
      </w:r>
      <w:r>
        <w:rPr>
          <w:spacing w:val="6"/>
          <w:w w:val="105"/>
        </w:rPr>
        <w:t> </w:t>
      </w:r>
      <w:r>
        <w:rPr>
          <w:w w:val="105"/>
        </w:rPr>
        <w:t>Bombardier,</w:t>
      </w:r>
      <w:r>
        <w:rPr>
          <w:spacing w:val="5"/>
          <w:w w:val="105"/>
        </w:rPr>
        <w:t> </w:t>
      </w:r>
      <w:r>
        <w:rPr>
          <w:w w:val="105"/>
        </w:rPr>
        <w:t>C.,</w:t>
      </w:r>
      <w:r>
        <w:rPr>
          <w:spacing w:val="-4"/>
          <w:w w:val="105"/>
        </w:rPr>
        <w:t> </w:t>
      </w:r>
      <w:r>
        <w:rPr>
          <w:spacing w:val="-2"/>
          <w:w w:val="105"/>
        </w:rPr>
        <w:t>Goldenberg,</w:t>
      </w:r>
    </w:p>
    <w:p>
      <w:pPr>
        <w:pStyle w:val="BodyText"/>
        <w:spacing w:line="249" w:lineRule="auto" w:before="11"/>
        <w:ind w:left="914" w:right="223" w:firstLine="4"/>
        <w:jc w:val="both"/>
      </w:pPr>
      <w:r>
        <w:rPr>
          <w:w w:val="105"/>
        </w:rPr>
        <w:t>D. L., ...</w:t>
      </w:r>
      <w:r>
        <w:rPr>
          <w:spacing w:val="40"/>
          <w:w w:val="105"/>
        </w:rPr>
        <w:t> </w:t>
      </w:r>
      <w:r>
        <w:rPr>
          <w:w w:val="105"/>
        </w:rPr>
        <w:t>Sheon, R. P.</w:t>
      </w:r>
      <w:r>
        <w:rPr>
          <w:spacing w:val="-8"/>
          <w:w w:val="105"/>
        </w:rPr>
        <w:t> </w:t>
      </w:r>
      <w:r>
        <w:rPr>
          <w:w w:val="105"/>
        </w:rPr>
        <w:t>(1990). The american-college-of-rheumatology</w:t>
      </w:r>
      <w:r>
        <w:rPr>
          <w:spacing w:val="-15"/>
          <w:w w:val="105"/>
        </w:rPr>
        <w:t> </w:t>
      </w:r>
      <w:r>
        <w:rPr>
          <w:w w:val="105"/>
        </w:rPr>
        <w:t>1990 criteria for the classification</w:t>
      </w:r>
      <w:r>
        <w:rPr>
          <w:spacing w:val="-6"/>
          <w:w w:val="105"/>
        </w:rPr>
        <w:t> </w:t>
      </w:r>
      <w:r>
        <w:rPr>
          <w:w w:val="105"/>
        </w:rPr>
        <w:t>of fibromyalgia</w:t>
      </w:r>
      <w:r>
        <w:rPr>
          <w:w w:val="105"/>
        </w:rPr>
        <w:t> - report of the multicenter criteria committee. </w:t>
      </w:r>
      <w:r>
        <w:rPr>
          <w:i/>
          <w:w w:val="105"/>
        </w:rPr>
        <w:t>Arthritis and Rheumatism, 33(2), </w:t>
      </w:r>
      <w:r>
        <w:rPr>
          <w:w w:val="105"/>
        </w:rPr>
        <w:t>160-172.</w:t>
      </w:r>
    </w:p>
    <w:p>
      <w:pPr>
        <w:pStyle w:val="BodyText"/>
      </w:pPr>
    </w:p>
    <w:p>
      <w:pPr>
        <w:spacing w:line="249" w:lineRule="auto" w:before="1"/>
        <w:ind w:left="918" w:right="138" w:hanging="423"/>
        <w:jc w:val="left"/>
        <w:rPr>
          <w:sz w:val="22"/>
        </w:rPr>
      </w:pPr>
      <w:r>
        <w:rPr>
          <w:w w:val="105"/>
          <w:sz w:val="22"/>
        </w:rPr>
        <w:t>Wuytack, F., &amp; Miller, P.</w:t>
      </w:r>
      <w:r>
        <w:rPr>
          <w:spacing w:val="40"/>
          <w:w w:val="105"/>
          <w:sz w:val="22"/>
        </w:rPr>
        <w:t> </w:t>
      </w:r>
      <w:r>
        <w:rPr>
          <w:w w:val="105"/>
          <w:sz w:val="22"/>
        </w:rPr>
        <w:t>(2011). The lived experience offibromyalgia in female patients,</w:t>
      </w:r>
      <w:r>
        <w:rPr>
          <w:spacing w:val="-2"/>
          <w:w w:val="105"/>
          <w:sz w:val="22"/>
        </w:rPr>
        <w:t> </w:t>
      </w:r>
      <w:r>
        <w:rPr>
          <w:w w:val="105"/>
          <w:sz w:val="22"/>
        </w:rPr>
        <w:t>a</w:t>
      </w:r>
      <w:r>
        <w:rPr>
          <w:spacing w:val="-4"/>
          <w:w w:val="105"/>
          <w:sz w:val="22"/>
        </w:rPr>
        <w:t> </w:t>
      </w:r>
      <w:r>
        <w:rPr>
          <w:w w:val="105"/>
          <w:sz w:val="22"/>
        </w:rPr>
        <w:t>phenomenological</w:t>
      </w:r>
      <w:r>
        <w:rPr>
          <w:spacing w:val="-7"/>
          <w:w w:val="105"/>
          <w:sz w:val="22"/>
        </w:rPr>
        <w:t> </w:t>
      </w:r>
      <w:r>
        <w:rPr>
          <w:w w:val="105"/>
          <w:sz w:val="22"/>
        </w:rPr>
        <w:t>study.</w:t>
      </w:r>
      <w:r>
        <w:rPr>
          <w:spacing w:val="-1"/>
          <w:w w:val="105"/>
          <w:sz w:val="22"/>
        </w:rPr>
        <w:t> </w:t>
      </w:r>
      <w:r>
        <w:rPr>
          <w:i/>
          <w:w w:val="105"/>
          <w:sz w:val="22"/>
        </w:rPr>
        <w:t>Chiropractic</w:t>
      </w:r>
      <w:r>
        <w:rPr>
          <w:i/>
          <w:spacing w:val="11"/>
          <w:w w:val="105"/>
          <w:sz w:val="22"/>
        </w:rPr>
        <w:t> </w:t>
      </w:r>
      <w:r>
        <w:rPr>
          <w:i/>
          <w:w w:val="105"/>
          <w:sz w:val="22"/>
        </w:rPr>
        <w:t>&amp;</w:t>
      </w:r>
      <w:r>
        <w:rPr>
          <w:i/>
          <w:spacing w:val="-9"/>
          <w:w w:val="105"/>
          <w:sz w:val="22"/>
        </w:rPr>
        <w:t> </w:t>
      </w:r>
      <w:r>
        <w:rPr>
          <w:i/>
          <w:w w:val="105"/>
          <w:sz w:val="22"/>
        </w:rPr>
        <w:t>Manual</w:t>
      </w:r>
      <w:r>
        <w:rPr>
          <w:i/>
          <w:spacing w:val="6"/>
          <w:w w:val="105"/>
          <w:sz w:val="22"/>
        </w:rPr>
        <w:t> </w:t>
      </w:r>
      <w:r>
        <w:rPr>
          <w:i/>
          <w:w w:val="105"/>
          <w:sz w:val="22"/>
        </w:rPr>
        <w:t>Therapies,</w:t>
      </w:r>
      <w:r>
        <w:rPr>
          <w:i/>
          <w:spacing w:val="-2"/>
          <w:w w:val="105"/>
          <w:sz w:val="22"/>
        </w:rPr>
        <w:t> </w:t>
      </w:r>
      <w:r>
        <w:rPr>
          <w:i/>
          <w:w w:val="105"/>
          <w:sz w:val="22"/>
        </w:rPr>
        <w:t>19(</w:t>
      </w:r>
      <w:r>
        <w:rPr>
          <w:i/>
          <w:spacing w:val="-7"/>
          <w:w w:val="105"/>
          <w:sz w:val="22"/>
        </w:rPr>
        <w:t> </w:t>
      </w:r>
      <w:r>
        <w:rPr>
          <w:w w:val="105"/>
          <w:sz w:val="22"/>
        </w:rPr>
        <w:t>l</w:t>
      </w:r>
      <w:r>
        <w:rPr>
          <w:spacing w:val="-22"/>
          <w:w w:val="105"/>
          <w:sz w:val="22"/>
        </w:rPr>
        <w:t> </w:t>
      </w:r>
      <w:r>
        <w:rPr>
          <w:w w:val="105"/>
          <w:sz w:val="22"/>
        </w:rPr>
        <w:t>),</w:t>
      </w:r>
      <w:r>
        <w:rPr>
          <w:spacing w:val="-5"/>
          <w:w w:val="105"/>
          <w:sz w:val="22"/>
        </w:rPr>
        <w:t> 22.</w:t>
      </w:r>
    </w:p>
    <w:p>
      <w:pPr>
        <w:pStyle w:val="BodyText"/>
        <w:spacing w:before="4"/>
      </w:pPr>
    </w:p>
    <w:p>
      <w:pPr>
        <w:pStyle w:val="BodyText"/>
        <w:ind w:left="487"/>
        <w:jc w:val="both"/>
      </w:pPr>
      <w:r>
        <w:rPr>
          <w:w w:val="105"/>
        </w:rPr>
        <w:t>Zettel-Watson,</w:t>
      </w:r>
      <w:r>
        <w:rPr>
          <w:spacing w:val="5"/>
          <w:w w:val="105"/>
        </w:rPr>
        <w:t> </w:t>
      </w:r>
      <w:r>
        <w:rPr>
          <w:w w:val="105"/>
        </w:rPr>
        <w:t>L.,</w:t>
      </w:r>
      <w:r>
        <w:rPr>
          <w:spacing w:val="10"/>
          <w:w w:val="105"/>
        </w:rPr>
        <w:t> </w:t>
      </w:r>
      <w:r>
        <w:rPr>
          <w:w w:val="105"/>
        </w:rPr>
        <w:t>Rakovski,</w:t>
      </w:r>
      <w:r>
        <w:rPr>
          <w:spacing w:val="3"/>
          <w:w w:val="105"/>
        </w:rPr>
        <w:t> </w:t>
      </w:r>
      <w:r>
        <w:rPr>
          <w:w w:val="105"/>
        </w:rPr>
        <w:t>C.</w:t>
      </w:r>
      <w:r>
        <w:rPr>
          <w:spacing w:val="-11"/>
          <w:w w:val="105"/>
        </w:rPr>
        <w:t> </w:t>
      </w:r>
      <w:r>
        <w:rPr>
          <w:w w:val="105"/>
        </w:rPr>
        <w:t>C.,</w:t>
      </w:r>
      <w:r>
        <w:rPr>
          <w:spacing w:val="5"/>
          <w:w w:val="105"/>
        </w:rPr>
        <w:t> </w:t>
      </w:r>
      <w:r>
        <w:rPr>
          <w:w w:val="105"/>
        </w:rPr>
        <w:t>Levine,</w:t>
      </w:r>
      <w:r>
        <w:rPr>
          <w:spacing w:val="11"/>
          <w:w w:val="105"/>
        </w:rPr>
        <w:t> </w:t>
      </w:r>
      <w:r>
        <w:rPr>
          <w:w w:val="105"/>
        </w:rPr>
        <w:t>B.,</w:t>
      </w:r>
      <w:r>
        <w:rPr>
          <w:spacing w:val="7"/>
          <w:w w:val="105"/>
        </w:rPr>
        <w:t> </w:t>
      </w:r>
      <w:r>
        <w:rPr>
          <w:w w:val="105"/>
        </w:rPr>
        <w:t>Rutledge,</w:t>
      </w:r>
      <w:r>
        <w:rPr>
          <w:spacing w:val="21"/>
          <w:w w:val="105"/>
        </w:rPr>
        <w:t> </w:t>
      </w:r>
      <w:r>
        <w:rPr>
          <w:w w:val="105"/>
        </w:rPr>
        <w:t>D.</w:t>
      </w:r>
      <w:r>
        <w:rPr>
          <w:spacing w:val="2"/>
          <w:w w:val="105"/>
        </w:rPr>
        <w:t> </w:t>
      </w:r>
      <w:r>
        <w:rPr>
          <w:w w:val="105"/>
        </w:rPr>
        <w:t>N.,</w:t>
      </w:r>
      <w:r>
        <w:rPr>
          <w:spacing w:val="2"/>
          <w:w w:val="105"/>
        </w:rPr>
        <w:t> </w:t>
      </w:r>
      <w:r>
        <w:rPr>
          <w:w w:val="105"/>
        </w:rPr>
        <w:t>&amp;</w:t>
      </w:r>
      <w:r>
        <w:rPr>
          <w:spacing w:val="-1"/>
          <w:w w:val="105"/>
        </w:rPr>
        <w:t> </w:t>
      </w:r>
      <w:r>
        <w:rPr>
          <w:w w:val="105"/>
        </w:rPr>
        <w:t>Jones,</w:t>
      </w:r>
      <w:r>
        <w:rPr>
          <w:spacing w:val="5"/>
          <w:w w:val="105"/>
        </w:rPr>
        <w:t> </w:t>
      </w:r>
      <w:r>
        <w:rPr>
          <w:w w:val="105"/>
        </w:rPr>
        <w:t>C.</w:t>
      </w:r>
      <w:r>
        <w:rPr>
          <w:spacing w:val="-7"/>
          <w:w w:val="105"/>
        </w:rPr>
        <w:t> </w:t>
      </w:r>
      <w:r>
        <w:rPr>
          <w:w w:val="105"/>
        </w:rPr>
        <w:t>J.</w:t>
      </w:r>
      <w:r>
        <w:rPr>
          <w:spacing w:val="-2"/>
          <w:w w:val="105"/>
        </w:rPr>
        <w:t> (2011).</w:t>
      </w:r>
    </w:p>
    <w:p>
      <w:pPr>
        <w:pStyle w:val="BodyText"/>
        <w:spacing w:before="6"/>
        <w:ind w:left="1195"/>
      </w:pPr>
      <w:r>
        <w:rPr>
          <w:w w:val="105"/>
        </w:rPr>
        <w:t>Impact</w:t>
      </w:r>
      <w:r>
        <w:rPr>
          <w:spacing w:val="4"/>
          <w:w w:val="105"/>
        </w:rPr>
        <w:t> </w:t>
      </w:r>
      <w:r>
        <w:rPr>
          <w:w w:val="105"/>
        </w:rPr>
        <w:t>of</w:t>
      </w:r>
      <w:r>
        <w:rPr>
          <w:spacing w:val="-9"/>
          <w:w w:val="105"/>
        </w:rPr>
        <w:t> </w:t>
      </w:r>
      <w:r>
        <w:rPr>
          <w:w w:val="105"/>
        </w:rPr>
        <w:t>employment</w:t>
      </w:r>
      <w:r>
        <w:rPr>
          <w:spacing w:val="10"/>
          <w:w w:val="105"/>
        </w:rPr>
        <w:t> </w:t>
      </w:r>
      <w:r>
        <w:rPr>
          <w:w w:val="105"/>
        </w:rPr>
        <w:t>and</w:t>
      </w:r>
      <w:r>
        <w:rPr>
          <w:spacing w:val="-3"/>
          <w:w w:val="105"/>
        </w:rPr>
        <w:t> </w:t>
      </w:r>
      <w:r>
        <w:rPr>
          <w:w w:val="105"/>
        </w:rPr>
        <w:t>caregiving</w:t>
      </w:r>
      <w:r>
        <w:rPr>
          <w:spacing w:val="17"/>
          <w:w w:val="105"/>
        </w:rPr>
        <w:t> </w:t>
      </w:r>
      <w:r>
        <w:rPr>
          <w:w w:val="105"/>
        </w:rPr>
        <w:t>roles</w:t>
      </w:r>
      <w:r>
        <w:rPr>
          <w:spacing w:val="-6"/>
          <w:w w:val="105"/>
        </w:rPr>
        <w:t> </w:t>
      </w:r>
      <w:r>
        <w:rPr>
          <w:w w:val="105"/>
        </w:rPr>
        <w:t>on</w:t>
      </w:r>
      <w:r>
        <w:rPr>
          <w:spacing w:val="3"/>
          <w:w w:val="105"/>
        </w:rPr>
        <w:t> </w:t>
      </w:r>
      <w:r>
        <w:rPr>
          <w:w w:val="105"/>
        </w:rPr>
        <w:t>the</w:t>
      </w:r>
      <w:r>
        <w:rPr>
          <w:spacing w:val="-2"/>
          <w:w w:val="105"/>
        </w:rPr>
        <w:t> </w:t>
      </w:r>
      <w:r>
        <w:rPr>
          <w:w w:val="105"/>
        </w:rPr>
        <w:t>well-being</w:t>
      </w:r>
      <w:r>
        <w:rPr>
          <w:spacing w:val="3"/>
          <w:w w:val="105"/>
        </w:rPr>
        <w:t> </w:t>
      </w:r>
      <w:r>
        <w:rPr>
          <w:w w:val="105"/>
        </w:rPr>
        <w:t>of</w:t>
      </w:r>
      <w:r>
        <w:rPr>
          <w:spacing w:val="-1"/>
          <w:w w:val="105"/>
        </w:rPr>
        <w:t> </w:t>
      </w:r>
      <w:r>
        <w:rPr>
          <w:w w:val="105"/>
        </w:rPr>
        <w:t>people</w:t>
      </w:r>
      <w:r>
        <w:rPr>
          <w:spacing w:val="2"/>
          <w:w w:val="105"/>
        </w:rPr>
        <w:t> </w:t>
      </w:r>
      <w:r>
        <w:rPr>
          <w:spacing w:val="-4"/>
          <w:w w:val="105"/>
        </w:rPr>
        <w:t>with</w:t>
      </w:r>
    </w:p>
    <w:p>
      <w:pPr>
        <w:spacing w:after="0"/>
        <w:sectPr>
          <w:headerReference w:type="default" r:id="rId48"/>
          <w:pgSz w:w="12410" w:h="15730"/>
          <w:pgMar w:header="1048" w:footer="0" w:top="1620" w:bottom="280" w:left="1760" w:right="1760"/>
        </w:sectPr>
      </w:pPr>
    </w:p>
    <w:p>
      <w:pPr>
        <w:spacing w:before="81"/>
        <w:ind w:left="1144" w:right="0" w:firstLine="0"/>
        <w:jc w:val="left"/>
        <w:rPr>
          <w:sz w:val="22"/>
        </w:rPr>
      </w:pPr>
      <w:r>
        <w:rPr>
          <w:w w:val="105"/>
          <w:sz w:val="22"/>
        </w:rPr>
        <w:t>fibromyalgia</w:t>
      </w:r>
      <w:r>
        <w:rPr>
          <w:spacing w:val="-2"/>
          <w:w w:val="105"/>
          <w:sz w:val="22"/>
        </w:rPr>
        <w:t> </w:t>
      </w:r>
      <w:r>
        <w:rPr>
          <w:w w:val="105"/>
          <w:sz w:val="22"/>
        </w:rPr>
        <w:t>syndrome.</w:t>
      </w:r>
      <w:r>
        <w:rPr>
          <w:spacing w:val="7"/>
          <w:w w:val="105"/>
          <w:sz w:val="22"/>
        </w:rPr>
        <w:t> </w:t>
      </w:r>
      <w:r>
        <w:rPr>
          <w:i/>
          <w:w w:val="105"/>
          <w:sz w:val="22"/>
        </w:rPr>
        <w:t>Journal</w:t>
      </w:r>
      <w:r>
        <w:rPr>
          <w:i/>
          <w:spacing w:val="-2"/>
          <w:w w:val="105"/>
          <w:sz w:val="22"/>
        </w:rPr>
        <w:t> </w:t>
      </w:r>
      <w:r>
        <w:rPr>
          <w:i/>
          <w:w w:val="105"/>
          <w:sz w:val="22"/>
        </w:rPr>
        <w:t>of</w:t>
      </w:r>
      <w:r>
        <w:rPr>
          <w:i/>
          <w:spacing w:val="-1"/>
          <w:w w:val="105"/>
          <w:sz w:val="22"/>
        </w:rPr>
        <w:t> </w:t>
      </w:r>
      <w:r>
        <w:rPr>
          <w:i/>
          <w:w w:val="105"/>
          <w:sz w:val="22"/>
        </w:rPr>
        <w:t>Musculoskeletal</w:t>
      </w:r>
      <w:r>
        <w:rPr>
          <w:i/>
          <w:spacing w:val="-1"/>
          <w:w w:val="105"/>
          <w:sz w:val="22"/>
        </w:rPr>
        <w:t> </w:t>
      </w:r>
      <w:r>
        <w:rPr>
          <w:i/>
          <w:w w:val="105"/>
          <w:sz w:val="22"/>
        </w:rPr>
        <w:t>Pain,</w:t>
      </w:r>
      <w:r>
        <w:rPr>
          <w:i/>
          <w:spacing w:val="-9"/>
          <w:w w:val="105"/>
          <w:sz w:val="22"/>
        </w:rPr>
        <w:t> </w:t>
      </w:r>
      <w:r>
        <w:rPr>
          <w:i/>
          <w:w w:val="105"/>
          <w:sz w:val="22"/>
        </w:rPr>
        <w:t>19(</w:t>
      </w:r>
      <w:r>
        <w:rPr>
          <w:i/>
          <w:spacing w:val="-18"/>
          <w:w w:val="105"/>
          <w:sz w:val="22"/>
        </w:rPr>
        <w:t> </w:t>
      </w:r>
      <w:r>
        <w:rPr>
          <w:w w:val="105"/>
          <w:sz w:val="22"/>
        </w:rPr>
        <w:t>1),</w:t>
      </w:r>
      <w:r>
        <w:rPr>
          <w:spacing w:val="-9"/>
          <w:w w:val="105"/>
          <w:sz w:val="22"/>
        </w:rPr>
        <w:t> </w:t>
      </w:r>
      <w:r>
        <w:rPr>
          <w:w w:val="105"/>
          <w:sz w:val="22"/>
        </w:rPr>
        <w:t>8-</w:t>
      </w:r>
      <w:r>
        <w:rPr>
          <w:spacing w:val="-5"/>
          <w:w w:val="105"/>
          <w:sz w:val="22"/>
        </w:rPr>
        <w:t>17.</w:t>
      </w:r>
    </w:p>
    <w:p>
      <w:pPr>
        <w:pStyle w:val="BodyText"/>
        <w:spacing w:before="11"/>
        <w:ind w:left="1141"/>
      </w:pPr>
      <w:r>
        <w:rPr>
          <w:spacing w:val="4"/>
        </w:rPr>
        <w:t>doi:10.3109/10582452.20</w:t>
      </w:r>
      <w:r>
        <w:rPr>
          <w:spacing w:val="-20"/>
        </w:rPr>
        <w:t> </w:t>
      </w:r>
      <w:r>
        <w:rPr>
          <w:spacing w:val="4"/>
        </w:rPr>
        <w:t>I</w:t>
      </w:r>
      <w:r>
        <w:rPr>
          <w:spacing w:val="-17"/>
        </w:rPr>
        <w:t> </w:t>
      </w:r>
      <w:r>
        <w:rPr>
          <w:spacing w:val="-2"/>
        </w:rPr>
        <w:t>0.538824</w:t>
      </w:r>
    </w:p>
    <w:sectPr>
      <w:headerReference w:type="default" r:id="rId49"/>
      <w:pgSz w:w="12450" w:h="15760"/>
      <w:pgMar w:header="1020" w:footer="0" w:top="1600" w:bottom="280" w:left="1760" w:right="1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1872">
              <wp:simplePos x="0" y="0"/>
              <wp:positionH relativeFrom="page">
                <wp:posOffset>3313395</wp:posOffset>
              </wp:positionH>
              <wp:positionV relativeFrom="page">
                <wp:posOffset>1883350</wp:posOffset>
              </wp:positionV>
              <wp:extent cx="1531620" cy="18796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531620" cy="187960"/>
                      </a:xfrm>
                      <a:prstGeom prst="rect">
                        <a:avLst/>
                      </a:prstGeom>
                    </wps:spPr>
                    <wps:txbx>
                      <w:txbxContent>
                        <w:p>
                          <w:pPr>
                            <w:spacing w:before="10"/>
                            <w:ind w:left="20" w:right="0" w:firstLine="0"/>
                            <w:jc w:val="left"/>
                            <w:rPr>
                              <w:sz w:val="23"/>
                            </w:rPr>
                          </w:pPr>
                          <w:r>
                            <w:rPr>
                              <w:sz w:val="23"/>
                            </w:rPr>
                            <w:t>TABLE</w:t>
                          </w:r>
                          <w:r>
                            <w:rPr>
                              <w:spacing w:val="7"/>
                              <w:sz w:val="23"/>
                            </w:rPr>
                            <w:t> </w:t>
                          </w:r>
                          <w:r>
                            <w:rPr>
                              <w:sz w:val="23"/>
                            </w:rPr>
                            <w:t>OF</w:t>
                          </w:r>
                          <w:r>
                            <w:rPr>
                              <w:spacing w:val="-7"/>
                              <w:sz w:val="23"/>
                            </w:rPr>
                            <w:t> </w:t>
                          </w:r>
                          <w:r>
                            <w:rPr>
                              <w:spacing w:val="-2"/>
                              <w:sz w:val="23"/>
                            </w:rPr>
                            <w:t>CONTENTS</w:t>
                          </w:r>
                        </w:p>
                      </w:txbxContent>
                    </wps:txbx>
                    <wps:bodyPr wrap="square" lIns="0" tIns="0" rIns="0" bIns="0" rtlCol="0">
                      <a:noAutofit/>
                    </wps:bodyPr>
                  </wps:wsp>
                </a:graphicData>
              </a:graphic>
            </wp:anchor>
          </w:drawing>
        </mc:Choice>
        <mc:Fallback>
          <w:pict>
            <v:shape style="position:absolute;margin-left:260.897308pt;margin-top:148.295319pt;width:120.6pt;height:14.8pt;mso-position-horizontal-relative:page;mso-position-vertical-relative:page;z-index:-17284608" type="#_x0000_t202" id="docshape18" filled="false" stroked="false">
              <v:textbox inset="0,0,0,0">
                <w:txbxContent>
                  <w:p>
                    <w:pPr>
                      <w:spacing w:before="10"/>
                      <w:ind w:left="20" w:right="0" w:firstLine="0"/>
                      <w:jc w:val="left"/>
                      <w:rPr>
                        <w:sz w:val="23"/>
                      </w:rPr>
                    </w:pPr>
                    <w:r>
                      <w:rPr>
                        <w:sz w:val="23"/>
                      </w:rPr>
                      <w:t>TABLE</w:t>
                    </w:r>
                    <w:r>
                      <w:rPr>
                        <w:spacing w:val="7"/>
                        <w:sz w:val="23"/>
                      </w:rPr>
                      <w:t> </w:t>
                    </w:r>
                    <w:r>
                      <w:rPr>
                        <w:sz w:val="23"/>
                      </w:rPr>
                      <w:t>OF</w:t>
                    </w:r>
                    <w:r>
                      <w:rPr>
                        <w:spacing w:val="-7"/>
                        <w:sz w:val="23"/>
                      </w:rPr>
                      <w:t> </w:t>
                    </w:r>
                    <w:r>
                      <w:rPr>
                        <w:spacing w:val="-2"/>
                        <w:sz w:val="23"/>
                      </w:rPr>
                      <w:t>CONTENTS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2384">
              <wp:simplePos x="0" y="0"/>
              <wp:positionH relativeFrom="page">
                <wp:posOffset>3507194</wp:posOffset>
              </wp:positionH>
              <wp:positionV relativeFrom="page">
                <wp:posOffset>1892504</wp:posOffset>
              </wp:positionV>
              <wp:extent cx="1138555" cy="18796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138555" cy="187960"/>
                      </a:xfrm>
                      <a:prstGeom prst="rect">
                        <a:avLst/>
                      </a:prstGeom>
                    </wps:spPr>
                    <wps:txbx>
                      <w:txbxContent>
                        <w:p>
                          <w:pPr>
                            <w:spacing w:before="10"/>
                            <w:ind w:left="20" w:right="0" w:firstLine="0"/>
                            <w:jc w:val="left"/>
                            <w:rPr>
                              <w:sz w:val="23"/>
                            </w:rPr>
                          </w:pPr>
                          <w:r>
                            <w:rPr>
                              <w:sz w:val="23"/>
                            </w:rPr>
                            <w:t>LIST</w:t>
                          </w:r>
                          <w:r>
                            <w:rPr>
                              <w:spacing w:val="-8"/>
                              <w:sz w:val="23"/>
                            </w:rPr>
                            <w:t> </w:t>
                          </w:r>
                          <w:r>
                            <w:rPr>
                              <w:sz w:val="23"/>
                            </w:rPr>
                            <w:t>OF</w:t>
                          </w:r>
                          <w:r>
                            <w:rPr>
                              <w:spacing w:val="-10"/>
                              <w:sz w:val="23"/>
                            </w:rPr>
                            <w:t> </w:t>
                          </w:r>
                          <w:r>
                            <w:rPr>
                              <w:spacing w:val="-2"/>
                              <w:sz w:val="23"/>
                            </w:rPr>
                            <w:t>TABLES</w:t>
                          </w:r>
                        </w:p>
                      </w:txbxContent>
                    </wps:txbx>
                    <wps:bodyPr wrap="square" lIns="0" tIns="0" rIns="0" bIns="0" rtlCol="0">
                      <a:noAutofit/>
                    </wps:bodyPr>
                  </wps:wsp>
                </a:graphicData>
              </a:graphic>
            </wp:anchor>
          </w:drawing>
        </mc:Choice>
        <mc:Fallback>
          <w:pict>
            <v:shape style="position:absolute;margin-left:276.157013pt;margin-top:149.016113pt;width:89.65pt;height:14.8pt;mso-position-horizontal-relative:page;mso-position-vertical-relative:page;z-index:-17284096" type="#_x0000_t202" id="docshape19" filled="false" stroked="false">
              <v:textbox inset="0,0,0,0">
                <w:txbxContent>
                  <w:p>
                    <w:pPr>
                      <w:spacing w:before="10"/>
                      <w:ind w:left="20" w:right="0" w:firstLine="0"/>
                      <w:jc w:val="left"/>
                      <w:rPr>
                        <w:sz w:val="23"/>
                      </w:rPr>
                    </w:pPr>
                    <w:r>
                      <w:rPr>
                        <w:sz w:val="23"/>
                      </w:rPr>
                      <w:t>LIST</w:t>
                    </w:r>
                    <w:r>
                      <w:rPr>
                        <w:spacing w:val="-8"/>
                        <w:sz w:val="23"/>
                      </w:rPr>
                      <w:t> </w:t>
                    </w:r>
                    <w:r>
                      <w:rPr>
                        <w:sz w:val="23"/>
                      </w:rPr>
                      <w:t>OF</w:t>
                    </w:r>
                    <w:r>
                      <w:rPr>
                        <w:spacing w:val="-10"/>
                        <w:sz w:val="23"/>
                      </w:rPr>
                      <w:t> </w:t>
                    </w:r>
                    <w:r>
                      <w:rPr>
                        <w:spacing w:val="-2"/>
                        <w:sz w:val="23"/>
                      </w:rPr>
                      <w:t>TABLES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2896">
              <wp:simplePos x="0" y="0"/>
              <wp:positionH relativeFrom="page">
                <wp:posOffset>3794950</wp:posOffset>
              </wp:positionH>
              <wp:positionV relativeFrom="page">
                <wp:posOffset>1889016</wp:posOffset>
              </wp:positionV>
              <wp:extent cx="798830" cy="18034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798830" cy="180340"/>
                      </a:xfrm>
                      <a:prstGeom prst="rect">
                        <a:avLst/>
                      </a:prstGeom>
                    </wps:spPr>
                    <wps:txbx>
                      <w:txbxContent>
                        <w:p>
                          <w:pPr>
                            <w:pStyle w:val="BodyText"/>
                            <w:spacing w:before="11"/>
                            <w:ind w:left="20"/>
                          </w:pPr>
                          <w:r>
                            <w:rPr/>
                            <w:t>CHAPTER</w:t>
                          </w:r>
                          <w:r>
                            <w:rPr>
                              <w:spacing w:val="68"/>
                              <w:w w:val="150"/>
                            </w:rPr>
                            <w:t> </w:t>
                          </w:r>
                          <w:r>
                            <w:rPr>
                              <w:spacing w:val="-10"/>
                            </w:rPr>
                            <w:t>l</w:t>
                          </w:r>
                        </w:p>
                      </w:txbxContent>
                    </wps:txbx>
                    <wps:bodyPr wrap="square" lIns="0" tIns="0" rIns="0" bIns="0" rtlCol="0">
                      <a:noAutofit/>
                    </wps:bodyPr>
                  </wps:wsp>
                </a:graphicData>
              </a:graphic>
            </wp:anchor>
          </w:drawing>
        </mc:Choice>
        <mc:Fallback>
          <w:pict>
            <v:shape style="position:absolute;margin-left:298.815002pt;margin-top:148.74147pt;width:62.9pt;height:14.2pt;mso-position-horizontal-relative:page;mso-position-vertical-relative:page;z-index:-17283584" type="#_x0000_t202" id="docshape20" filled="false" stroked="false">
              <v:textbox inset="0,0,0,0">
                <w:txbxContent>
                  <w:p>
                    <w:pPr>
                      <w:pStyle w:val="BodyText"/>
                      <w:spacing w:before="11"/>
                      <w:ind w:left="20"/>
                    </w:pPr>
                    <w:r>
                      <w:rPr/>
                      <w:t>CHAPTER</w:t>
                    </w:r>
                    <w:r>
                      <w:rPr>
                        <w:spacing w:val="68"/>
                        <w:w w:val="150"/>
                      </w:rPr>
                      <w:t> </w:t>
                    </w:r>
                    <w:r>
                      <w:rPr>
                        <w:spacing w:val="-10"/>
                      </w:rPr>
                      <w:t>l</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3408">
              <wp:simplePos x="0" y="0"/>
              <wp:positionH relativeFrom="page">
                <wp:posOffset>6623014</wp:posOffset>
              </wp:positionH>
              <wp:positionV relativeFrom="page">
                <wp:posOffset>634759</wp:posOffset>
              </wp:positionV>
              <wp:extent cx="161290" cy="18034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61290" cy="180340"/>
                      </a:xfrm>
                      <a:prstGeom prst="rect">
                        <a:avLst/>
                      </a:prstGeom>
                    </wps:spPr>
                    <wps:txbx>
                      <w:txbxContent>
                        <w:p>
                          <w:pPr>
                            <w:pStyle w:val="BodyText"/>
                            <w:spacing w:before="11"/>
                            <w:ind w:left="60"/>
                          </w:pPr>
                          <w:r>
                            <w:rPr>
                              <w:spacing w:val="-10"/>
                              <w:w w:val="105"/>
                            </w:rPr>
                            <w:fldChar w:fldCharType="begin"/>
                          </w:r>
                          <w:r>
                            <w:rPr>
                              <w:spacing w:val="-10"/>
                              <w:w w:val="105"/>
                            </w:rPr>
                            <w:instrText> PAGE </w:instrText>
                          </w:r>
                          <w:r>
                            <w:rPr>
                              <w:spacing w:val="-10"/>
                              <w:w w:val="105"/>
                            </w:rPr>
                            <w:fldChar w:fldCharType="separate"/>
                          </w:r>
                          <w:r>
                            <w:rPr>
                              <w:spacing w:val="-10"/>
                              <w:w w:val="105"/>
                            </w:rPr>
                            <w:t>2</w:t>
                          </w:r>
                          <w:r>
                            <w:rPr>
                              <w:spacing w:val="-10"/>
                              <w:w w:val="105"/>
                            </w:rPr>
                            <w:fldChar w:fldCharType="end"/>
                          </w:r>
                        </w:p>
                      </w:txbxContent>
                    </wps:txbx>
                    <wps:bodyPr wrap="square" lIns="0" tIns="0" rIns="0" bIns="0" rtlCol="0">
                      <a:noAutofit/>
                    </wps:bodyPr>
                  </wps:wsp>
                </a:graphicData>
              </a:graphic>
            </wp:anchor>
          </w:drawing>
        </mc:Choice>
        <mc:Fallback>
          <w:pict>
            <v:shape style="position:absolute;margin-left:521.497192pt;margin-top:49.981087pt;width:12.7pt;height:14.2pt;mso-position-horizontal-relative:page;mso-position-vertical-relative:page;z-index:-17283072" type="#_x0000_t202" id="docshape21" filled="false" stroked="false">
              <v:textbox inset="0,0,0,0">
                <w:txbxContent>
                  <w:p>
                    <w:pPr>
                      <w:pStyle w:val="BodyText"/>
                      <w:spacing w:before="11"/>
                      <w:ind w:left="60"/>
                    </w:pPr>
                    <w:r>
                      <w:rPr>
                        <w:spacing w:val="-10"/>
                        <w:w w:val="105"/>
                      </w:rPr>
                      <w:fldChar w:fldCharType="begin"/>
                    </w:r>
                    <w:r>
                      <w:rPr>
                        <w:spacing w:val="-10"/>
                        <w:w w:val="105"/>
                      </w:rPr>
                      <w:instrText> PAGE </w:instrText>
                    </w:r>
                    <w:r>
                      <w:rPr>
                        <w:spacing w:val="-10"/>
                        <w:w w:val="105"/>
                      </w:rPr>
                      <w:fldChar w:fldCharType="separate"/>
                    </w:r>
                    <w:r>
                      <w:rPr>
                        <w:spacing w:val="-10"/>
                        <w:w w:val="105"/>
                      </w:rPr>
                      <w:t>2</w:t>
                    </w:r>
                    <w:r>
                      <w:rPr>
                        <w:spacing w:val="-10"/>
                        <w:w w:val="105"/>
                      </w:rPr>
                      <w:fldChar w:fldCharType="end"/>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3920">
              <wp:simplePos x="0" y="0"/>
              <wp:positionH relativeFrom="page">
                <wp:posOffset>6658271</wp:posOffset>
              </wp:positionH>
              <wp:positionV relativeFrom="page">
                <wp:posOffset>628655</wp:posOffset>
              </wp:positionV>
              <wp:extent cx="153670" cy="19304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53670" cy="193040"/>
                      </a:xfrm>
                      <a:prstGeom prst="rect">
                        <a:avLst/>
                      </a:prstGeom>
                    </wps:spPr>
                    <wps:txbx>
                      <w:txbxContent>
                        <w:p>
                          <w:pPr>
                            <w:pStyle w:val="BodyText"/>
                            <w:spacing w:before="11"/>
                            <w:ind w:left="20"/>
                          </w:pPr>
                          <w:r>
                            <w:rPr>
                              <w:spacing w:val="-10"/>
                              <w:w w:val="105"/>
                            </w:rPr>
                            <w:fldChar w:fldCharType="begin"/>
                          </w:r>
                          <w:r>
                            <w:rPr>
                              <w:spacing w:val="-10"/>
                              <w:w w:val="105"/>
                            </w:rPr>
                            <w:instrText> PAGE </w:instrText>
                          </w:r>
                          <w:r>
                            <w:rPr>
                              <w:spacing w:val="-10"/>
                              <w:w w:val="105"/>
                            </w:rPr>
                            <w:fldChar w:fldCharType="separate"/>
                          </w:r>
                          <w:r>
                            <w:rPr>
                              <w:spacing w:val="-10"/>
                              <w:w w:val="105"/>
                            </w:rPr>
                            <w:t>4</w:t>
                          </w:r>
                          <w:r>
                            <w:rPr>
                              <w:spacing w:val="-10"/>
                              <w:w w:val="105"/>
                            </w:rPr>
                            <w:fldChar w:fldCharType="end"/>
                          </w:r>
                        </w:p>
                      </w:txbxContent>
                    </wps:txbx>
                    <wps:bodyPr wrap="square" lIns="0" tIns="0" rIns="0" bIns="0" rtlCol="0">
                      <a:noAutofit/>
                    </wps:bodyPr>
                  </wps:wsp>
                </a:graphicData>
              </a:graphic>
            </wp:anchor>
          </w:drawing>
        </mc:Choice>
        <mc:Fallback>
          <w:pict>
            <v:shape style="position:absolute;margin-left:524.273376pt;margin-top:49.500408pt;width:12.1pt;height:15.2pt;mso-position-horizontal-relative:page;mso-position-vertical-relative:page;z-index:-17282560" type="#_x0000_t202" id="docshape22" filled="false" stroked="false">
              <v:textbox inset="0,0,0,0">
                <w:txbxContent>
                  <w:p>
                    <w:pPr>
                      <w:pStyle w:val="BodyText"/>
                      <w:spacing w:before="11"/>
                      <w:ind w:left="20"/>
                    </w:pPr>
                    <w:r>
                      <w:rPr>
                        <w:spacing w:val="-10"/>
                        <w:w w:val="105"/>
                      </w:rPr>
                      <w:fldChar w:fldCharType="begin"/>
                    </w:r>
                    <w:r>
                      <w:rPr>
                        <w:spacing w:val="-10"/>
                        <w:w w:val="105"/>
                      </w:rPr>
                      <w:instrText> PAGE </w:instrText>
                    </w:r>
                    <w:r>
                      <w:rPr>
                        <w:spacing w:val="-10"/>
                        <w:w w:val="105"/>
                      </w:rPr>
                      <w:fldChar w:fldCharType="separate"/>
                    </w:r>
                    <w:r>
                      <w:rPr>
                        <w:spacing w:val="-10"/>
                        <w:w w:val="105"/>
                      </w:rPr>
                      <w:t>4</w:t>
                    </w:r>
                    <w:r>
                      <w:rPr>
                        <w:spacing w:val="-10"/>
                        <w:w w:val="105"/>
                      </w:rPr>
                      <w:fldChar w:fldCharType="end"/>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4432">
              <wp:simplePos x="0" y="0"/>
              <wp:positionH relativeFrom="page">
                <wp:posOffset>6628425</wp:posOffset>
              </wp:positionH>
              <wp:positionV relativeFrom="page">
                <wp:posOffset>628655</wp:posOffset>
              </wp:positionV>
              <wp:extent cx="159385" cy="18034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59385" cy="180340"/>
                      </a:xfrm>
                      <a:prstGeom prst="rect">
                        <a:avLst/>
                      </a:prstGeom>
                    </wps:spPr>
                    <wps:txbx>
                      <w:txbxContent>
                        <w:p>
                          <w:pPr>
                            <w:pStyle w:val="BodyText"/>
                            <w:spacing w:before="11"/>
                            <w:ind w:left="60"/>
                          </w:pPr>
                          <w:r>
                            <w:rPr>
                              <w:spacing w:val="-10"/>
                            </w:rPr>
                            <w:fldChar w:fldCharType="begin"/>
                          </w:r>
                          <w:r>
                            <w:rPr>
                              <w:spacing w:val="-10"/>
                            </w:rPr>
                            <w:instrText>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 style="position:absolute;margin-left:521.923279pt;margin-top:49.500408pt;width:12.55pt;height:14.2pt;mso-position-horizontal-relative:page;mso-position-vertical-relative:page;z-index:-17282048" type="#_x0000_t202" id="docshape23" filled="false" stroked="false">
              <v:textbox inset="0,0,0,0">
                <w:txbxContent>
                  <w:p>
                    <w:pPr>
                      <w:pStyle w:val="BodyText"/>
                      <w:spacing w:before="11"/>
                      <w:ind w:left="60"/>
                    </w:pPr>
                    <w:r>
                      <w:rPr>
                        <w:spacing w:val="-10"/>
                      </w:rPr>
                      <w:fldChar w:fldCharType="begin"/>
                    </w:r>
                    <w:r>
                      <w:rPr>
                        <w:spacing w:val="-10"/>
                      </w:rPr>
                      <w:instrText> PAGE </w:instrText>
                    </w:r>
                    <w:r>
                      <w:rPr>
                        <w:spacing w:val="-10"/>
                      </w:rPr>
                      <w:fldChar w:fldCharType="separate"/>
                    </w:r>
                    <w:r>
                      <w:rPr>
                        <w:spacing w:val="-10"/>
                      </w:rPr>
                      <w:t>5</w:t>
                    </w:r>
                    <w:r>
                      <w:rPr>
                        <w:spacing w:val="-10"/>
                      </w:rPr>
                      <w:fldChar w:fldCharType="end"/>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4944">
              <wp:simplePos x="0" y="0"/>
              <wp:positionH relativeFrom="page">
                <wp:posOffset>6653495</wp:posOffset>
              </wp:positionH>
              <wp:positionV relativeFrom="page">
                <wp:posOffset>643914</wp:posOffset>
              </wp:positionV>
              <wp:extent cx="164465" cy="18034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64465" cy="180340"/>
                      </a:xfrm>
                      <a:prstGeom prst="rect">
                        <a:avLst/>
                      </a:prstGeom>
                    </wps:spPr>
                    <wps:txbx>
                      <w:txbxContent>
                        <w:p>
                          <w:pPr>
                            <w:pStyle w:val="BodyText"/>
                            <w:spacing w:before="11"/>
                            <w:ind w:left="60"/>
                          </w:pPr>
                          <w:r>
                            <w:rPr>
                              <w:spacing w:val="-10"/>
                              <w:w w:val="110"/>
                            </w:rPr>
                            <w:fldChar w:fldCharType="begin"/>
                          </w:r>
                          <w:r>
                            <w:rPr>
                              <w:spacing w:val="-10"/>
                              <w:w w:val="110"/>
                            </w:rPr>
                            <w:instrText> PAGE </w:instrText>
                          </w:r>
                          <w:r>
                            <w:rPr>
                              <w:spacing w:val="-10"/>
                              <w:w w:val="110"/>
                            </w:rPr>
                            <w:fldChar w:fldCharType="separate"/>
                          </w:r>
                          <w:r>
                            <w:rPr>
                              <w:spacing w:val="-10"/>
                              <w:w w:val="110"/>
                            </w:rPr>
                            <w:t>6</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523.897278pt;margin-top:50.701908pt;width:12.95pt;height:14.2pt;mso-position-horizontal-relative:page;mso-position-vertical-relative:page;z-index:-17281536" type="#_x0000_t202" id="docshape24" filled="false" stroked="false">
              <v:textbox inset="0,0,0,0">
                <w:txbxContent>
                  <w:p>
                    <w:pPr>
                      <w:pStyle w:val="BodyText"/>
                      <w:spacing w:before="11"/>
                      <w:ind w:left="60"/>
                    </w:pPr>
                    <w:r>
                      <w:rPr>
                        <w:spacing w:val="-10"/>
                        <w:w w:val="110"/>
                      </w:rPr>
                      <w:fldChar w:fldCharType="begin"/>
                    </w:r>
                    <w:r>
                      <w:rPr>
                        <w:spacing w:val="-10"/>
                        <w:w w:val="110"/>
                      </w:rPr>
                      <w:instrText> PAGE </w:instrText>
                    </w:r>
                    <w:r>
                      <w:rPr>
                        <w:spacing w:val="-10"/>
                        <w:w w:val="110"/>
                      </w:rPr>
                      <w:fldChar w:fldCharType="separate"/>
                    </w:r>
                    <w:r>
                      <w:rPr>
                        <w:spacing w:val="-10"/>
                        <w:w w:val="110"/>
                      </w:rPr>
                      <w:t>6</w:t>
                    </w:r>
                    <w:r>
                      <w:rPr>
                        <w:spacing w:val="-10"/>
                        <w:w w:val="110"/>
                      </w:rPr>
                      <w:fldChar w:fldCharType="end"/>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5456">
              <wp:simplePos x="0" y="0"/>
              <wp:positionH relativeFrom="page">
                <wp:posOffset>6654320</wp:posOffset>
              </wp:positionH>
              <wp:positionV relativeFrom="page">
                <wp:posOffset>646965</wp:posOffset>
              </wp:positionV>
              <wp:extent cx="164465" cy="1803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64465" cy="180340"/>
                      </a:xfrm>
                      <a:prstGeom prst="rect">
                        <a:avLst/>
                      </a:prstGeom>
                    </wps:spPr>
                    <wps:txbx>
                      <w:txbxContent>
                        <w:p>
                          <w:pPr>
                            <w:pStyle w:val="BodyText"/>
                            <w:spacing w:before="11"/>
                            <w:ind w:left="60"/>
                          </w:pPr>
                          <w:r>
                            <w:rPr>
                              <w:spacing w:val="-10"/>
                              <w:w w:val="110"/>
                            </w:rPr>
                            <w:fldChar w:fldCharType="begin"/>
                          </w:r>
                          <w:r>
                            <w:rPr>
                              <w:spacing w:val="-10"/>
                              <w:w w:val="110"/>
                            </w:rPr>
                            <w:instrText> PAGE </w:instrText>
                          </w:r>
                          <w:r>
                            <w:rPr>
                              <w:spacing w:val="-10"/>
                              <w:w w:val="110"/>
                            </w:rPr>
                            <w:fldChar w:fldCharType="separate"/>
                          </w:r>
                          <w:r>
                            <w:rPr>
                              <w:spacing w:val="-10"/>
                              <w:w w:val="110"/>
                            </w:rPr>
                            <w:t>7</w:t>
                          </w:r>
                          <w:r>
                            <w:rPr>
                              <w:spacing w:val="-10"/>
                              <w:w w:val="110"/>
                            </w:rPr>
                            <w:fldChar w:fldCharType="end"/>
                          </w:r>
                        </w:p>
                      </w:txbxContent>
                    </wps:txbx>
                    <wps:bodyPr wrap="square" lIns="0" tIns="0" rIns="0" bIns="0" rtlCol="0">
                      <a:noAutofit/>
                    </wps:bodyPr>
                  </wps:wsp>
                </a:graphicData>
              </a:graphic>
            </wp:anchor>
          </w:drawing>
        </mc:Choice>
        <mc:Fallback>
          <w:pict>
            <v:shape style="position:absolute;margin-left:523.962219pt;margin-top:50.942139pt;width:12.95pt;height:14.2pt;mso-position-horizontal-relative:page;mso-position-vertical-relative:page;z-index:-17281024" type="#_x0000_t202" id="docshape25" filled="false" stroked="false">
              <v:textbox inset="0,0,0,0">
                <w:txbxContent>
                  <w:p>
                    <w:pPr>
                      <w:pStyle w:val="BodyText"/>
                      <w:spacing w:before="11"/>
                      <w:ind w:left="60"/>
                    </w:pPr>
                    <w:r>
                      <w:rPr>
                        <w:spacing w:val="-10"/>
                        <w:w w:val="110"/>
                      </w:rPr>
                      <w:fldChar w:fldCharType="begin"/>
                    </w:r>
                    <w:r>
                      <w:rPr>
                        <w:spacing w:val="-10"/>
                        <w:w w:val="110"/>
                      </w:rPr>
                      <w:instrText> PAGE </w:instrText>
                    </w:r>
                    <w:r>
                      <w:rPr>
                        <w:spacing w:val="-10"/>
                        <w:w w:val="110"/>
                      </w:rPr>
                      <w:fldChar w:fldCharType="separate"/>
                    </w:r>
                    <w:r>
                      <w:rPr>
                        <w:spacing w:val="-10"/>
                        <w:w w:val="110"/>
                      </w:rPr>
                      <w:t>7</w:t>
                    </w:r>
                    <w:r>
                      <w:rPr>
                        <w:spacing w:val="-10"/>
                        <w:w w:val="110"/>
                      </w:rPr>
                      <w:fldChar w:fldCharType="end"/>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5968">
              <wp:simplePos x="0" y="0"/>
              <wp:positionH relativeFrom="page">
                <wp:posOffset>6626332</wp:posOffset>
              </wp:positionH>
              <wp:positionV relativeFrom="page">
                <wp:posOffset>638247</wp:posOffset>
              </wp:positionV>
              <wp:extent cx="153035" cy="18796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153035" cy="187960"/>
                      </a:xfrm>
                      <a:prstGeom prst="rect">
                        <a:avLst/>
                      </a:prstGeom>
                    </wps:spPr>
                    <wps:txbx>
                      <w:txbxContent>
                        <w:p>
                          <w:pPr>
                            <w:pStyle w:val="BodyText"/>
                            <w:spacing w:before="20"/>
                            <w:ind w:left="103"/>
                          </w:pPr>
                          <w:r>
                            <w:rPr>
                              <w:spacing w:val="-10"/>
                              <w:w w:val="105"/>
                            </w:rPr>
                            <w:fldChar w:fldCharType="begin"/>
                          </w:r>
                          <w:r>
                            <w:rPr>
                              <w:spacing w:val="-10"/>
                              <w:w w:val="105"/>
                            </w:rPr>
                            <w:instrText> PAGE </w:instrText>
                          </w:r>
                          <w:r>
                            <w:rPr>
                              <w:spacing w:val="-10"/>
                              <w:w w:val="105"/>
                            </w:rPr>
                            <w:fldChar w:fldCharType="separate"/>
                          </w:r>
                          <w:r>
                            <w:rPr>
                              <w:spacing w:val="-10"/>
                              <w:w w:val="105"/>
                            </w:rPr>
                            <w:t>9</w:t>
                          </w:r>
                          <w:r>
                            <w:rPr>
                              <w:spacing w:val="-10"/>
                              <w:w w:val="105"/>
                            </w:rPr>
                            <w:fldChar w:fldCharType="end"/>
                          </w:r>
                        </w:p>
                      </w:txbxContent>
                    </wps:txbx>
                    <wps:bodyPr wrap="square" lIns="0" tIns="0" rIns="0" bIns="0" rtlCol="0">
                      <a:noAutofit/>
                    </wps:bodyPr>
                  </wps:wsp>
                </a:graphicData>
              </a:graphic>
            </wp:anchor>
          </w:drawing>
        </mc:Choice>
        <mc:Fallback>
          <w:pict>
            <v:shape style="position:absolute;margin-left:521.758484pt;margin-top:50.255699pt;width:12.05pt;height:14.8pt;mso-position-horizontal-relative:page;mso-position-vertical-relative:page;z-index:-17280512" type="#_x0000_t202" id="docshape26" filled="false" stroked="false">
              <v:textbox inset="0,0,0,0">
                <w:txbxContent>
                  <w:p>
                    <w:pPr>
                      <w:pStyle w:val="BodyText"/>
                      <w:spacing w:before="20"/>
                      <w:ind w:left="103"/>
                    </w:pPr>
                    <w:r>
                      <w:rPr>
                        <w:spacing w:val="-10"/>
                        <w:w w:val="105"/>
                      </w:rPr>
                      <w:fldChar w:fldCharType="begin"/>
                    </w:r>
                    <w:r>
                      <w:rPr>
                        <w:spacing w:val="-10"/>
                        <w:w w:val="105"/>
                      </w:rPr>
                      <w:instrText> PAGE </w:instrText>
                    </w:r>
                    <w:r>
                      <w:rPr>
                        <w:spacing w:val="-10"/>
                        <w:w w:val="105"/>
                      </w:rPr>
                      <w:fldChar w:fldCharType="separate"/>
                    </w:r>
                    <w:r>
                      <w:rPr>
                        <w:spacing w:val="-10"/>
                        <w:w w:val="105"/>
                      </w:rPr>
                      <w:t>9</w:t>
                    </w:r>
                    <w:r>
                      <w:rPr>
                        <w:spacing w:val="-10"/>
                        <w:w w:val="105"/>
                      </w:rPr>
                      <w:fldChar w:fldCharType="end"/>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6480">
              <wp:simplePos x="0" y="0"/>
              <wp:positionH relativeFrom="page">
                <wp:posOffset>6589012</wp:posOffset>
              </wp:positionH>
              <wp:positionV relativeFrom="page">
                <wp:posOffset>631706</wp:posOffset>
              </wp:positionV>
              <wp:extent cx="138430" cy="18034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38430" cy="180340"/>
                      </a:xfrm>
                      <a:prstGeom prst="rect">
                        <a:avLst/>
                      </a:prstGeom>
                    </wps:spPr>
                    <wps:txbx>
                      <w:txbxContent>
                        <w:p>
                          <w:pPr>
                            <w:pStyle w:val="BodyText"/>
                            <w:spacing w:before="11"/>
                            <w:ind w:left="20"/>
                          </w:pPr>
                          <w:r>
                            <w:rPr/>
                            <w:t>l</w:t>
                          </w:r>
                          <w:r>
                            <w:rPr>
                              <w:spacing w:val="3"/>
                            </w:rPr>
                            <w:t> </w:t>
                          </w:r>
                          <w:r>
                            <w:rPr>
                              <w:spacing w:val="-10"/>
                            </w:rPr>
                            <w:t>l</w:t>
                          </w:r>
                        </w:p>
                      </w:txbxContent>
                    </wps:txbx>
                    <wps:bodyPr wrap="square" lIns="0" tIns="0" rIns="0" bIns="0" rtlCol="0">
                      <a:noAutofit/>
                    </wps:bodyPr>
                  </wps:wsp>
                </a:graphicData>
              </a:graphic>
            </wp:anchor>
          </w:drawing>
        </mc:Choice>
        <mc:Fallback>
          <w:pict>
            <v:shape style="position:absolute;margin-left:518.819885pt;margin-top:49.740707pt;width:10.9pt;height:14.2pt;mso-position-horizontal-relative:page;mso-position-vertical-relative:page;z-index:-17280000" type="#_x0000_t202" id="docshape27" filled="false" stroked="false">
              <v:textbox inset="0,0,0,0">
                <w:txbxContent>
                  <w:p>
                    <w:pPr>
                      <w:pStyle w:val="BodyText"/>
                      <w:spacing w:before="11"/>
                      <w:ind w:left="20"/>
                    </w:pPr>
                    <w:r>
                      <w:rPr/>
                      <w:t>l</w:t>
                    </w:r>
                    <w:r>
                      <w:rPr>
                        <w:spacing w:val="3"/>
                      </w:rPr>
                      <w:t> </w:t>
                    </w:r>
                    <w:r>
                      <w:rPr>
                        <w:spacing w:val="-10"/>
                      </w:rPr>
                      <w:t>l</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6992">
              <wp:simplePos x="0" y="0"/>
              <wp:positionH relativeFrom="page">
                <wp:posOffset>6557826</wp:posOffset>
              </wp:positionH>
              <wp:positionV relativeFrom="page">
                <wp:posOffset>643914</wp:posOffset>
              </wp:positionV>
              <wp:extent cx="231775" cy="18034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31775" cy="18034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 style="position:absolute;margin-left:516.364319pt;margin-top:50.701965pt;width:18.25pt;height:14.2pt;mso-position-horizontal-relative:page;mso-position-vertical-relative:page;z-index:-17279488" type="#_x0000_t202" id="docshape28"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12</w:t>
                    </w:r>
                    <w:r>
                      <w:rPr>
                        <w:spacing w:val="-5"/>
                      </w:rPr>
                      <w:fldChar w:fldCharType="end"/>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7504">
              <wp:simplePos x="0" y="0"/>
              <wp:positionH relativeFrom="page">
                <wp:posOffset>6603584</wp:posOffset>
              </wp:positionH>
              <wp:positionV relativeFrom="page">
                <wp:posOffset>634758</wp:posOffset>
              </wp:positionV>
              <wp:extent cx="238760" cy="18034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13</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9.967285pt;margin-top:49.981007pt;width:18.8pt;height:14.2pt;mso-position-horizontal-relative:page;mso-position-vertical-relative:page;z-index:-17278976" type="#_x0000_t202" id="docshape29"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13</w:t>
                    </w:r>
                    <w:r>
                      <w:rPr>
                        <w:spacing w:val="-5"/>
                        <w:w w:val="105"/>
                      </w:rPr>
                      <w:fldChar w:fldCharType="end"/>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8016">
              <wp:simplePos x="0" y="0"/>
              <wp:positionH relativeFrom="page">
                <wp:posOffset>6561997</wp:posOffset>
              </wp:positionH>
              <wp:positionV relativeFrom="page">
                <wp:posOffset>634750</wp:posOffset>
              </wp:positionV>
              <wp:extent cx="219710" cy="18288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219710" cy="182880"/>
                      </a:xfrm>
                      <a:prstGeom prst="rect">
                        <a:avLst/>
                      </a:prstGeom>
                    </wps:spPr>
                    <wps:txbx>
                      <w:txbxContent>
                        <w:p>
                          <w:pPr>
                            <w:pStyle w:val="BodyText"/>
                            <w:spacing w:before="11"/>
                            <w:ind w:left="43"/>
                          </w:pPr>
                          <w:r>
                            <w:rPr>
                              <w:spacing w:val="-5"/>
                            </w:rPr>
                            <w:fldChar w:fldCharType="begin"/>
                          </w:r>
                          <w:r>
                            <w:rPr>
                              <w:spacing w:val="-5"/>
                            </w:rPr>
                            <w:instrText>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 style="position:absolute;margin-left:516.692688pt;margin-top:49.980389pt;width:17.3pt;height:14.4pt;mso-position-horizontal-relative:page;mso-position-vertical-relative:page;z-index:-17278464" type="#_x0000_t202" id="docshape30" filled="false" stroked="false">
              <v:textbox inset="0,0,0,0">
                <w:txbxContent>
                  <w:p>
                    <w:pPr>
                      <w:pStyle w:val="BodyText"/>
                      <w:spacing w:before="11"/>
                      <w:ind w:left="43"/>
                    </w:pPr>
                    <w:r>
                      <w:rPr>
                        <w:spacing w:val="-5"/>
                      </w:rPr>
                      <w:fldChar w:fldCharType="begin"/>
                    </w:r>
                    <w:r>
                      <w:rPr>
                        <w:spacing w:val="-5"/>
                      </w:rPr>
                      <w:instrText> PAGE </w:instrText>
                    </w:r>
                    <w:r>
                      <w:rPr>
                        <w:spacing w:val="-5"/>
                      </w:rPr>
                      <w:fldChar w:fldCharType="separate"/>
                    </w:r>
                    <w:r>
                      <w:rPr>
                        <w:spacing w:val="-5"/>
                      </w:rPr>
                      <w:t>15</w:t>
                    </w:r>
                    <w:r>
                      <w:rPr>
                        <w:spacing w:val="-5"/>
                      </w:rPr>
                      <w:fldChar w:fldCharType="end"/>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8528">
              <wp:simplePos x="0" y="0"/>
              <wp:positionH relativeFrom="page">
                <wp:posOffset>6570013</wp:posOffset>
              </wp:positionH>
              <wp:positionV relativeFrom="page">
                <wp:posOffset>643911</wp:posOffset>
              </wp:positionV>
              <wp:extent cx="238760" cy="1803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17</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323914pt;margin-top:50.701721pt;width:18.8pt;height:14.2pt;mso-position-horizontal-relative:page;mso-position-vertical-relative:page;z-index:-17277952" type="#_x0000_t202" id="docshape31"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17</w:t>
                    </w:r>
                    <w:r>
                      <w:rPr>
                        <w:spacing w:val="-5"/>
                        <w:w w:val="105"/>
                      </w:rPr>
                      <w:fldChar w:fldCharType="end"/>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9040">
              <wp:simplePos x="0" y="0"/>
              <wp:positionH relativeFrom="page">
                <wp:posOffset>6568790</wp:posOffset>
              </wp:positionH>
              <wp:positionV relativeFrom="page">
                <wp:posOffset>641585</wp:posOffset>
              </wp:positionV>
              <wp:extent cx="227329" cy="17462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27329" cy="174625"/>
                      </a:xfrm>
                      <a:prstGeom prst="rect">
                        <a:avLst/>
                      </a:prstGeom>
                    </wps:spPr>
                    <wps:txbx>
                      <w:txbxContent>
                        <w:p>
                          <w:pPr>
                            <w:spacing w:before="13"/>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18</w:t>
                          </w:r>
                          <w:r>
                            <w:rPr>
                              <w:rFonts w:ascii="Arial"/>
                              <w:spacing w:val="-5"/>
                              <w:sz w:val="21"/>
                            </w:rPr>
                            <w:fldChar w:fldCharType="end"/>
                          </w:r>
                        </w:p>
                      </w:txbxContent>
                    </wps:txbx>
                    <wps:bodyPr wrap="square" lIns="0" tIns="0" rIns="0" bIns="0" rtlCol="0">
                      <a:noAutofit/>
                    </wps:bodyPr>
                  </wps:wsp>
                </a:graphicData>
              </a:graphic>
            </wp:anchor>
          </w:drawing>
        </mc:Choice>
        <mc:Fallback>
          <w:pict>
            <v:shape style="position:absolute;margin-left:517.227600pt;margin-top:50.518536pt;width:17.9pt;height:13.75pt;mso-position-horizontal-relative:page;mso-position-vertical-relative:page;z-index:-17277440" type="#_x0000_t202" id="docshape32" filled="false" stroked="false">
              <v:textbox inset="0,0,0,0">
                <w:txbxContent>
                  <w:p>
                    <w:pPr>
                      <w:spacing w:before="13"/>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18</w:t>
                    </w:r>
                    <w:r>
                      <w:rPr>
                        <w:rFonts w:ascii="Arial"/>
                        <w:spacing w:val="-5"/>
                        <w:sz w:val="21"/>
                      </w:rPr>
                      <w:fldChar w:fldCharType="end"/>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39552">
              <wp:simplePos x="0" y="0"/>
              <wp:positionH relativeFrom="page">
                <wp:posOffset>6588321</wp:posOffset>
              </wp:positionH>
              <wp:positionV relativeFrom="page">
                <wp:posOffset>646963</wp:posOffset>
              </wp:positionV>
              <wp:extent cx="234950" cy="18034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3495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19</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8.765503pt;margin-top:50.94202pt;width:18.5pt;height:14.2pt;mso-position-horizontal-relative:page;mso-position-vertical-relative:page;z-index:-17276928" type="#_x0000_t202" id="docshape33"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19</w:t>
                    </w:r>
                    <w:r>
                      <w:rPr>
                        <w:spacing w:val="-5"/>
                        <w:w w:val="105"/>
                      </w:rPr>
                      <w:fldChar w:fldCharType="end"/>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0064">
              <wp:simplePos x="0" y="0"/>
              <wp:positionH relativeFrom="page">
                <wp:posOffset>6571105</wp:posOffset>
              </wp:positionH>
              <wp:positionV relativeFrom="page">
                <wp:posOffset>634757</wp:posOffset>
              </wp:positionV>
              <wp:extent cx="238760" cy="18034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20</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409912pt;margin-top:49.9809pt;width:18.8pt;height:14.2pt;mso-position-horizontal-relative:page;mso-position-vertical-relative:page;z-index:-17276416" type="#_x0000_t202" id="docshape34"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20</w:t>
                    </w:r>
                    <w:r>
                      <w:rPr>
                        <w:spacing w:val="-5"/>
                        <w:w w:val="105"/>
                      </w:rPr>
                      <w:fldChar w:fldCharType="end"/>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0576">
              <wp:simplePos x="0" y="0"/>
              <wp:positionH relativeFrom="page">
                <wp:posOffset>6555867</wp:posOffset>
              </wp:positionH>
              <wp:positionV relativeFrom="page">
                <wp:posOffset>643914</wp:posOffset>
              </wp:positionV>
              <wp:extent cx="231775" cy="18034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231775" cy="18034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 style="position:absolute;margin-left:516.210022pt;margin-top:50.701908pt;width:18.25pt;height:14.2pt;mso-position-horizontal-relative:page;mso-position-vertical-relative:page;z-index:-17275904" type="#_x0000_t202" id="docshape35"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1088">
              <wp:simplePos x="0" y="0"/>
              <wp:positionH relativeFrom="page">
                <wp:posOffset>6577203</wp:posOffset>
              </wp:positionH>
              <wp:positionV relativeFrom="page">
                <wp:posOffset>643913</wp:posOffset>
              </wp:positionV>
              <wp:extent cx="236220" cy="18034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3622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22</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890076pt;margin-top:50.701839pt;width:18.6pt;height:14.2pt;mso-position-horizontal-relative:page;mso-position-vertical-relative:page;z-index:-17275392" type="#_x0000_t202" id="docshape36"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22</w:t>
                    </w:r>
                    <w:r>
                      <w:rPr>
                        <w:spacing w:val="-5"/>
                        <w:w w:val="105"/>
                      </w:rPr>
                      <w:fldChar w:fldCharType="end"/>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1600">
              <wp:simplePos x="0" y="0"/>
              <wp:positionH relativeFrom="page">
                <wp:posOffset>6586349</wp:posOffset>
              </wp:positionH>
              <wp:positionV relativeFrom="page">
                <wp:posOffset>625604</wp:posOffset>
              </wp:positionV>
              <wp:extent cx="238760" cy="18034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24</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8.610229pt;margin-top:49.260166pt;width:18.8pt;height:14.2pt;mso-position-horizontal-relative:page;mso-position-vertical-relative:page;z-index:-17274880" type="#_x0000_t202" id="docshape38"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24</w:t>
                    </w:r>
                    <w:r>
                      <w:rPr>
                        <w:spacing w:val="-5"/>
                        <w:w w:val="105"/>
                      </w:rPr>
                      <w:fldChar w:fldCharType="end"/>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2112">
              <wp:simplePos x="0" y="0"/>
              <wp:positionH relativeFrom="page">
                <wp:posOffset>6577196</wp:posOffset>
              </wp:positionH>
              <wp:positionV relativeFrom="page">
                <wp:posOffset>656119</wp:posOffset>
              </wp:positionV>
              <wp:extent cx="237490" cy="18034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23749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25</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889526pt;margin-top:51.662941pt;width:18.7pt;height:14.2pt;mso-position-horizontal-relative:page;mso-position-vertical-relative:page;z-index:-17274368" type="#_x0000_t202" id="docshape39"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25</w:t>
                    </w:r>
                    <w:r>
                      <w:rPr>
                        <w:spacing w:val="-5"/>
                        <w:w w:val="105"/>
                      </w:rPr>
                      <w:fldChar w:fldCharType="end"/>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2624">
              <wp:simplePos x="0" y="0"/>
              <wp:positionH relativeFrom="page">
                <wp:posOffset>6565008</wp:posOffset>
              </wp:positionH>
              <wp:positionV relativeFrom="page">
                <wp:posOffset>637811</wp:posOffset>
              </wp:positionV>
              <wp:extent cx="238760" cy="18034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26</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6.92981pt;margin-top:50.221367pt;width:18.8pt;height:14.2pt;mso-position-horizontal-relative:page;mso-position-vertical-relative:page;z-index:-17273856" type="#_x0000_t202" id="docshape40"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26</w:t>
                    </w:r>
                    <w:r>
                      <w:rPr>
                        <w:spacing w:val="-5"/>
                        <w:w w:val="105"/>
                      </w:rPr>
                      <w:fldChar w:fldCharType="end"/>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3136">
              <wp:simplePos x="0" y="0"/>
              <wp:positionH relativeFrom="page">
                <wp:posOffset>6601410</wp:posOffset>
              </wp:positionH>
              <wp:positionV relativeFrom="page">
                <wp:posOffset>622989</wp:posOffset>
              </wp:positionV>
              <wp:extent cx="240029" cy="18796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240029" cy="187960"/>
                      </a:xfrm>
                      <a:prstGeom prst="rect">
                        <a:avLst/>
                      </a:prstGeom>
                    </wps:spPr>
                    <wps:txbx>
                      <w:txbxContent>
                        <w:p>
                          <w:pPr>
                            <w:spacing w:before="10"/>
                            <w:ind w:left="60" w:right="0" w:firstLine="0"/>
                            <w:jc w:val="left"/>
                            <w:rPr>
                              <w:sz w:val="23"/>
                            </w:rPr>
                          </w:pPr>
                          <w:r>
                            <w:rPr>
                              <w:spacing w:val="-5"/>
                              <w:w w:val="105"/>
                              <w:sz w:val="23"/>
                            </w:rPr>
                            <w:fldChar w:fldCharType="begin"/>
                          </w:r>
                          <w:r>
                            <w:rPr>
                              <w:spacing w:val="-5"/>
                              <w:w w:val="105"/>
                              <w:sz w:val="23"/>
                            </w:rPr>
                            <w:instrText> PAGE </w:instrText>
                          </w:r>
                          <w:r>
                            <w:rPr>
                              <w:spacing w:val="-5"/>
                              <w:w w:val="105"/>
                              <w:sz w:val="23"/>
                            </w:rPr>
                            <w:fldChar w:fldCharType="separate"/>
                          </w:r>
                          <w:r>
                            <w:rPr>
                              <w:spacing w:val="-5"/>
                              <w:w w:val="105"/>
                              <w:sz w:val="23"/>
                            </w:rPr>
                            <w:t>27</w:t>
                          </w:r>
                          <w:r>
                            <w:rPr>
                              <w:spacing w:val="-5"/>
                              <w:w w:val="105"/>
                              <w:sz w:val="23"/>
                            </w:rPr>
                            <w:fldChar w:fldCharType="end"/>
                          </w:r>
                        </w:p>
                      </w:txbxContent>
                    </wps:txbx>
                    <wps:bodyPr wrap="square" lIns="0" tIns="0" rIns="0" bIns="0" rtlCol="0">
                      <a:noAutofit/>
                    </wps:bodyPr>
                  </wps:wsp>
                </a:graphicData>
              </a:graphic>
            </wp:anchor>
          </w:drawing>
        </mc:Choice>
        <mc:Fallback>
          <w:pict>
            <v:shape style="position:absolute;margin-left:519.796082pt;margin-top:49.054306pt;width:18.9pt;height:14.8pt;mso-position-horizontal-relative:page;mso-position-vertical-relative:page;z-index:-17273344" type="#_x0000_t202" id="docshape41" filled="false" stroked="false">
              <v:textbox inset="0,0,0,0">
                <w:txbxContent>
                  <w:p>
                    <w:pPr>
                      <w:spacing w:before="10"/>
                      <w:ind w:left="60" w:right="0" w:firstLine="0"/>
                      <w:jc w:val="left"/>
                      <w:rPr>
                        <w:sz w:val="23"/>
                      </w:rPr>
                    </w:pPr>
                    <w:r>
                      <w:rPr>
                        <w:spacing w:val="-5"/>
                        <w:w w:val="105"/>
                        <w:sz w:val="23"/>
                      </w:rPr>
                      <w:fldChar w:fldCharType="begin"/>
                    </w:r>
                    <w:r>
                      <w:rPr>
                        <w:spacing w:val="-5"/>
                        <w:w w:val="105"/>
                        <w:sz w:val="23"/>
                      </w:rPr>
                      <w:instrText> PAGE </w:instrText>
                    </w:r>
                    <w:r>
                      <w:rPr>
                        <w:spacing w:val="-5"/>
                        <w:w w:val="105"/>
                        <w:sz w:val="23"/>
                      </w:rPr>
                      <w:fldChar w:fldCharType="separate"/>
                    </w:r>
                    <w:r>
                      <w:rPr>
                        <w:spacing w:val="-5"/>
                        <w:w w:val="105"/>
                        <w:sz w:val="23"/>
                      </w:rPr>
                      <w:t>27</w:t>
                    </w:r>
                    <w:r>
                      <w:rPr>
                        <w:spacing w:val="-5"/>
                        <w:w w:val="105"/>
                        <w:sz w:val="23"/>
                      </w:rPr>
                      <w:fldChar w:fldCharType="end"/>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3648">
              <wp:simplePos x="0" y="0"/>
              <wp:positionH relativeFrom="page">
                <wp:posOffset>6577193</wp:posOffset>
              </wp:positionH>
              <wp:positionV relativeFrom="page">
                <wp:posOffset>637811</wp:posOffset>
              </wp:positionV>
              <wp:extent cx="238760" cy="18034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28</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889221pt;margin-top:50.221367pt;width:18.8pt;height:14.2pt;mso-position-horizontal-relative:page;mso-position-vertical-relative:page;z-index:-17272832" type="#_x0000_t202" id="docshape42"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28</w:t>
                    </w:r>
                    <w:r>
                      <w:rPr>
                        <w:spacing w:val="-5"/>
                        <w:w w:val="105"/>
                      </w:rPr>
                      <w:fldChar w:fldCharType="end"/>
                    </w:r>
                  </w:p>
                </w:txbxContent>
              </v:textbox>
              <w10:wrap type="none"/>
            </v:shape>
          </w:pict>
        </mc:Fallback>
      </mc:AlternateContent>
    </w: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4160">
              <wp:simplePos x="0" y="0"/>
              <wp:positionH relativeFrom="page">
                <wp:posOffset>6589383</wp:posOffset>
              </wp:positionH>
              <wp:positionV relativeFrom="page">
                <wp:posOffset>646964</wp:posOffset>
              </wp:positionV>
              <wp:extent cx="236220" cy="18034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23622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29</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8.849121pt;margin-top:50.942089pt;width:18.6pt;height:14.2pt;mso-position-horizontal-relative:page;mso-position-vertical-relative:page;z-index:-17272320" type="#_x0000_t202" id="docshape43"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29</w:t>
                    </w:r>
                    <w:r>
                      <w:rPr>
                        <w:spacing w:val="-5"/>
                        <w:w w:val="105"/>
                      </w:rPr>
                      <w:fldChar w:fldCharType="end"/>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4672">
              <wp:simplePos x="0" y="0"/>
              <wp:positionH relativeFrom="page">
                <wp:posOffset>6562354</wp:posOffset>
              </wp:positionH>
              <wp:positionV relativeFrom="page">
                <wp:posOffset>650017</wp:posOffset>
              </wp:positionV>
              <wp:extent cx="238760" cy="18034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30</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6.720825pt;margin-top:51.182507pt;width:18.8pt;height:14.2pt;mso-position-horizontal-relative:page;mso-position-vertical-relative:page;z-index:-17271808" type="#_x0000_t202" id="docshape44"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30</w:t>
                    </w:r>
                    <w:r>
                      <w:rPr>
                        <w:spacing w:val="-5"/>
                        <w:w w:val="105"/>
                      </w:rPr>
                      <w:fldChar w:fldCharType="end"/>
                    </w:r>
                  </w:p>
                </w:txbxContent>
              </v:textbox>
              <w10:wrap type="none"/>
            </v:shape>
          </w:pict>
        </mc:Fallback>
      </mc:AlternateContent>
    </w: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5184">
              <wp:simplePos x="0" y="0"/>
              <wp:positionH relativeFrom="page">
                <wp:posOffset>6559288</wp:posOffset>
              </wp:positionH>
              <wp:positionV relativeFrom="page">
                <wp:posOffset>635482</wp:posOffset>
              </wp:positionV>
              <wp:extent cx="239395" cy="17462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39395" cy="174625"/>
                      </a:xfrm>
                      <a:prstGeom prst="rect">
                        <a:avLst/>
                      </a:prstGeom>
                    </wps:spPr>
                    <wps:txbx>
                      <w:txbxContent>
                        <w:p>
                          <w:pPr>
                            <w:spacing w:before="13"/>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31</w:t>
                          </w:r>
                          <w:r>
                            <w:rPr>
                              <w:rFonts w:ascii="Arial"/>
                              <w:spacing w:val="-5"/>
                              <w:sz w:val="21"/>
                            </w:rPr>
                            <w:fldChar w:fldCharType="end"/>
                          </w:r>
                        </w:p>
                      </w:txbxContent>
                    </wps:txbx>
                    <wps:bodyPr wrap="square" lIns="0" tIns="0" rIns="0" bIns="0" rtlCol="0">
                      <a:noAutofit/>
                    </wps:bodyPr>
                  </wps:wsp>
                </a:graphicData>
              </a:graphic>
            </wp:anchor>
          </w:drawing>
        </mc:Choice>
        <mc:Fallback>
          <w:pict>
            <v:shape style="position:absolute;margin-left:516.47937pt;margin-top:50.038021pt;width:18.850pt;height:13.75pt;mso-position-horizontal-relative:page;mso-position-vertical-relative:page;z-index:-17271296" type="#_x0000_t202" id="docshape45" filled="false" stroked="false">
              <v:textbox inset="0,0,0,0">
                <w:txbxContent>
                  <w:p>
                    <w:pPr>
                      <w:spacing w:before="13"/>
                      <w:ind w:left="60" w:right="0" w:firstLine="0"/>
                      <w:jc w:val="left"/>
                      <w:rPr>
                        <w:rFonts w:ascii="Arial"/>
                        <w:sz w:val="21"/>
                      </w:rPr>
                    </w:pPr>
                    <w:r>
                      <w:rPr>
                        <w:rFonts w:ascii="Arial"/>
                        <w:spacing w:val="-5"/>
                        <w:sz w:val="21"/>
                      </w:rPr>
                      <w:fldChar w:fldCharType="begin"/>
                    </w:r>
                    <w:r>
                      <w:rPr>
                        <w:rFonts w:ascii="Arial"/>
                        <w:spacing w:val="-5"/>
                        <w:sz w:val="21"/>
                      </w:rPr>
                      <w:instrText> PAGE </w:instrText>
                    </w:r>
                    <w:r>
                      <w:rPr>
                        <w:rFonts w:ascii="Arial"/>
                        <w:spacing w:val="-5"/>
                        <w:sz w:val="21"/>
                      </w:rPr>
                      <w:fldChar w:fldCharType="separate"/>
                    </w:r>
                    <w:r>
                      <w:rPr>
                        <w:rFonts w:ascii="Arial"/>
                        <w:spacing w:val="-5"/>
                        <w:sz w:val="21"/>
                      </w:rPr>
                      <w:t>31</w:t>
                    </w:r>
                    <w:r>
                      <w:rPr>
                        <w:rFonts w:ascii="Arial"/>
                        <w:spacing w:val="-5"/>
                        <w:sz w:val="21"/>
                      </w:rPr>
                      <w:fldChar w:fldCharType="end"/>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5696">
              <wp:simplePos x="0" y="0"/>
              <wp:positionH relativeFrom="page">
                <wp:posOffset>6595851</wp:posOffset>
              </wp:positionH>
              <wp:positionV relativeFrom="page">
                <wp:posOffset>656118</wp:posOffset>
              </wp:positionV>
              <wp:extent cx="238760" cy="18034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23876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32</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9.358398pt;margin-top:51.662861pt;width:18.8pt;height:14.2pt;mso-position-horizontal-relative:page;mso-position-vertical-relative:page;z-index:-17270784" type="#_x0000_t202" id="docshape46"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32</w:t>
                    </w:r>
                    <w:r>
                      <w:rPr>
                        <w:spacing w:val="-5"/>
                        <w:w w:val="105"/>
                      </w:rPr>
                      <w:fldChar w:fldCharType="end"/>
                    </w:r>
                  </w:p>
                </w:txbxContent>
              </v:textbox>
              <w10:wrap type="none"/>
            </v:shape>
          </w:pict>
        </mc:Fallback>
      </mc:AlternateContent>
    </w: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6208">
              <wp:simplePos x="0" y="0"/>
              <wp:positionH relativeFrom="page">
                <wp:posOffset>6574510</wp:posOffset>
              </wp:positionH>
              <wp:positionV relativeFrom="page">
                <wp:posOffset>646963</wp:posOffset>
              </wp:positionV>
              <wp:extent cx="236220" cy="18034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23622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33</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7.677979pt;margin-top:50.942028pt;width:18.6pt;height:14.2pt;mso-position-horizontal-relative:page;mso-position-vertical-relative:page;z-index:-17270272" type="#_x0000_t202" id="docshape47"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33</w:t>
                    </w:r>
                    <w:r>
                      <w:rPr>
                        <w:spacing w:val="-5"/>
                        <w:w w:val="105"/>
                      </w:rPr>
                      <w:fldChar w:fldCharType="end"/>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6720">
              <wp:simplePos x="0" y="0"/>
              <wp:positionH relativeFrom="page">
                <wp:posOffset>6559270</wp:posOffset>
              </wp:positionH>
              <wp:positionV relativeFrom="page">
                <wp:posOffset>640862</wp:posOffset>
              </wp:positionV>
              <wp:extent cx="234950" cy="18034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3495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34</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6.478027pt;margin-top:50.461597pt;width:18.5pt;height:14.2pt;mso-position-horizontal-relative:page;mso-position-vertical-relative:page;z-index:-17269760" type="#_x0000_t202" id="docshape48"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34</w:t>
                    </w:r>
                    <w:r>
                      <w:rPr>
                        <w:spacing w:val="-5"/>
                        <w:w w:val="105"/>
                      </w:rPr>
                      <w:fldChar w:fldCharType="end"/>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7232">
              <wp:simplePos x="0" y="0"/>
              <wp:positionH relativeFrom="page">
                <wp:posOffset>6598919</wp:posOffset>
              </wp:positionH>
              <wp:positionV relativeFrom="page">
                <wp:posOffset>650015</wp:posOffset>
              </wp:positionV>
              <wp:extent cx="236220" cy="18034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23622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35</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9.599976pt;margin-top:51.182331pt;width:18.6pt;height:14.2pt;mso-position-horizontal-relative:page;mso-position-vertical-relative:page;z-index:-17269248" type="#_x0000_t202" id="docshape49"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35</w:t>
                    </w:r>
                    <w:r>
                      <w:rPr>
                        <w:spacing w:val="-5"/>
                        <w:w w:val="105"/>
                      </w:rPr>
                      <w:fldChar w:fldCharType="end"/>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7744">
              <wp:simplePos x="0" y="0"/>
              <wp:positionH relativeFrom="page">
                <wp:posOffset>6549853</wp:posOffset>
              </wp:positionH>
              <wp:positionV relativeFrom="page">
                <wp:posOffset>643906</wp:posOffset>
              </wp:positionV>
              <wp:extent cx="255904" cy="19431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55904" cy="194310"/>
                      </a:xfrm>
                      <a:prstGeom prst="rect">
                        <a:avLst/>
                      </a:prstGeom>
                    </wps:spPr>
                    <wps:txbx>
                      <w:txbxContent>
                        <w:p>
                          <w:pPr>
                            <w:pStyle w:val="BodyText"/>
                            <w:spacing w:before="11"/>
                            <w:ind w:left="84"/>
                          </w:pPr>
                          <w:r>
                            <w:rPr>
                              <w:spacing w:val="-5"/>
                              <w:w w:val="110"/>
                            </w:rPr>
                            <w:fldChar w:fldCharType="begin"/>
                          </w:r>
                          <w:r>
                            <w:rPr>
                              <w:spacing w:val="-5"/>
                              <w:w w:val="110"/>
                            </w:rPr>
                            <w:instrText> PAGE </w:instrText>
                          </w:r>
                          <w:r>
                            <w:rPr>
                              <w:spacing w:val="-5"/>
                              <w:w w:val="110"/>
                            </w:rPr>
                            <w:fldChar w:fldCharType="separate"/>
                          </w:r>
                          <w:r>
                            <w:rPr>
                              <w:spacing w:val="-5"/>
                              <w:w w:val="110"/>
                            </w:rPr>
                            <w:t>37</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15.736511pt;margin-top:50.701279pt;width:20.150pt;height:15.3pt;mso-position-horizontal-relative:page;mso-position-vertical-relative:page;z-index:-17268736" type="#_x0000_t202" id="docshape50" filled="false" stroked="false">
              <v:textbox inset="0,0,0,0">
                <w:txbxContent>
                  <w:p>
                    <w:pPr>
                      <w:pStyle w:val="BodyText"/>
                      <w:spacing w:before="11"/>
                      <w:ind w:left="84"/>
                    </w:pPr>
                    <w:r>
                      <w:rPr>
                        <w:spacing w:val="-5"/>
                        <w:w w:val="110"/>
                      </w:rPr>
                      <w:fldChar w:fldCharType="begin"/>
                    </w:r>
                    <w:r>
                      <w:rPr>
                        <w:spacing w:val="-5"/>
                        <w:w w:val="110"/>
                      </w:rPr>
                      <w:instrText> PAGE </w:instrText>
                    </w:r>
                    <w:r>
                      <w:rPr>
                        <w:spacing w:val="-5"/>
                        <w:w w:val="110"/>
                      </w:rPr>
                      <w:fldChar w:fldCharType="separate"/>
                    </w:r>
                    <w:r>
                      <w:rPr>
                        <w:spacing w:val="-5"/>
                        <w:w w:val="110"/>
                      </w:rPr>
                      <w:t>37</w:t>
                    </w:r>
                    <w:r>
                      <w:rPr>
                        <w:spacing w:val="-5"/>
                        <w:w w:val="110"/>
                      </w:rPr>
                      <w:fldChar w:fldCharType="end"/>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8256">
              <wp:simplePos x="0" y="0"/>
              <wp:positionH relativeFrom="page">
                <wp:posOffset>6580916</wp:posOffset>
              </wp:positionH>
              <wp:positionV relativeFrom="page">
                <wp:posOffset>643914</wp:posOffset>
              </wp:positionV>
              <wp:extent cx="240029" cy="18034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40029" cy="180340"/>
                      </a:xfrm>
                      <a:prstGeom prst="rect">
                        <a:avLst/>
                      </a:prstGeom>
                    </wps:spPr>
                    <wps:txbx>
                      <w:txbxContent>
                        <w:p>
                          <w:pPr>
                            <w:pStyle w:val="BodyText"/>
                            <w:spacing w:before="11"/>
                            <w:ind w:left="60"/>
                          </w:pPr>
                          <w:r>
                            <w:rPr>
                              <w:spacing w:val="-5"/>
                              <w:w w:val="110"/>
                            </w:rPr>
                            <w:fldChar w:fldCharType="begin"/>
                          </w:r>
                          <w:r>
                            <w:rPr>
                              <w:spacing w:val="-5"/>
                              <w:w w:val="110"/>
                            </w:rPr>
                            <w:instrText> PAGE </w:instrText>
                          </w:r>
                          <w:r>
                            <w:rPr>
                              <w:spacing w:val="-5"/>
                              <w:w w:val="110"/>
                            </w:rPr>
                            <w:fldChar w:fldCharType="separate"/>
                          </w:r>
                          <w:r>
                            <w:rPr>
                              <w:spacing w:val="-5"/>
                              <w:w w:val="110"/>
                            </w:rPr>
                            <w:t>40</w:t>
                          </w:r>
                          <w:r>
                            <w:rPr>
                              <w:spacing w:val="-5"/>
                              <w:w w:val="110"/>
                            </w:rPr>
                            <w:fldChar w:fldCharType="end"/>
                          </w:r>
                        </w:p>
                      </w:txbxContent>
                    </wps:txbx>
                    <wps:bodyPr wrap="square" lIns="0" tIns="0" rIns="0" bIns="0" rtlCol="0">
                      <a:noAutofit/>
                    </wps:bodyPr>
                  </wps:wsp>
                </a:graphicData>
              </a:graphic>
            </wp:anchor>
          </w:drawing>
        </mc:Choice>
        <mc:Fallback>
          <w:pict>
            <v:shape style="position:absolute;margin-left:518.182373pt;margin-top:50.701908pt;width:18.9pt;height:14.2pt;mso-position-horizontal-relative:page;mso-position-vertical-relative:page;z-index:-17268224" type="#_x0000_t202" id="docshape51" filled="false" stroked="false">
              <v:textbox inset="0,0,0,0">
                <w:txbxContent>
                  <w:p>
                    <w:pPr>
                      <w:pStyle w:val="BodyText"/>
                      <w:spacing w:before="11"/>
                      <w:ind w:left="60"/>
                    </w:pPr>
                    <w:r>
                      <w:rPr>
                        <w:spacing w:val="-5"/>
                        <w:w w:val="110"/>
                      </w:rPr>
                      <w:fldChar w:fldCharType="begin"/>
                    </w:r>
                    <w:r>
                      <w:rPr>
                        <w:spacing w:val="-5"/>
                        <w:w w:val="110"/>
                      </w:rPr>
                      <w:instrText> PAGE </w:instrText>
                    </w:r>
                    <w:r>
                      <w:rPr>
                        <w:spacing w:val="-5"/>
                        <w:w w:val="110"/>
                      </w:rPr>
                      <w:fldChar w:fldCharType="separate"/>
                    </w:r>
                    <w:r>
                      <w:rPr>
                        <w:spacing w:val="-5"/>
                        <w:w w:val="110"/>
                      </w:rPr>
                      <w:t>40</w:t>
                    </w:r>
                    <w:r>
                      <w:rPr>
                        <w:spacing w:val="-5"/>
                        <w:w w:val="110"/>
                      </w:rPr>
                      <w:fldChar w:fldCharType="end"/>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8768">
              <wp:simplePos x="0" y="0"/>
              <wp:positionH relativeFrom="page">
                <wp:posOffset>6577955</wp:posOffset>
              </wp:positionH>
              <wp:positionV relativeFrom="page">
                <wp:posOffset>653069</wp:posOffset>
              </wp:positionV>
              <wp:extent cx="231775" cy="18034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31775" cy="18034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41</w:t>
                          </w:r>
                          <w:r>
                            <w:rPr>
                              <w:spacing w:val="-5"/>
                            </w:rPr>
                            <w:fldChar w:fldCharType="end"/>
                          </w:r>
                        </w:p>
                      </w:txbxContent>
                    </wps:txbx>
                    <wps:bodyPr wrap="square" lIns="0" tIns="0" rIns="0" bIns="0" rtlCol="0">
                      <a:noAutofit/>
                    </wps:bodyPr>
                  </wps:wsp>
                </a:graphicData>
              </a:graphic>
            </wp:anchor>
          </w:drawing>
        </mc:Choice>
        <mc:Fallback>
          <w:pict>
            <v:shape style="position:absolute;margin-left:517.949219pt;margin-top:51.422768pt;width:18.25pt;height:14.2pt;mso-position-horizontal-relative:page;mso-position-vertical-relative:page;z-index:-17267712" type="#_x0000_t202" id="docshape52"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41</w:t>
                    </w:r>
                    <w:r>
                      <w:rPr>
                        <w:spacing w:val="-5"/>
                      </w:rPr>
                      <w:fldChar w:fldCharType="end"/>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6049280">
              <wp:simplePos x="0" y="0"/>
              <wp:positionH relativeFrom="page">
                <wp:posOffset>6553500</wp:posOffset>
              </wp:positionH>
              <wp:positionV relativeFrom="page">
                <wp:posOffset>634757</wp:posOffset>
              </wp:positionV>
              <wp:extent cx="236220" cy="18034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36220" cy="180340"/>
                      </a:xfrm>
                      <a:prstGeom prst="rect">
                        <a:avLst/>
                      </a:prstGeom>
                    </wps:spPr>
                    <wps:txbx>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42</w:t>
                          </w:r>
                          <w:r>
                            <w:rPr>
                              <w:spacing w:val="-5"/>
                              <w:w w:val="105"/>
                            </w:rPr>
                            <w:fldChar w:fldCharType="end"/>
                          </w:r>
                        </w:p>
                      </w:txbxContent>
                    </wps:txbx>
                    <wps:bodyPr wrap="square" lIns="0" tIns="0" rIns="0" bIns="0" rtlCol="0">
                      <a:noAutofit/>
                    </wps:bodyPr>
                  </wps:wsp>
                </a:graphicData>
              </a:graphic>
            </wp:anchor>
          </w:drawing>
        </mc:Choice>
        <mc:Fallback>
          <w:pict>
            <v:shape style="position:absolute;margin-left:516.023682pt;margin-top:49.9809pt;width:18.6pt;height:14.2pt;mso-position-horizontal-relative:page;mso-position-vertical-relative:page;z-index:-17267200" type="#_x0000_t202" id="docshape53" filled="false" stroked="false">
              <v:textbox inset="0,0,0,0">
                <w:txbxContent>
                  <w:p>
                    <w:pPr>
                      <w:pStyle w:val="BodyText"/>
                      <w:spacing w:before="11"/>
                      <w:ind w:left="60"/>
                    </w:pPr>
                    <w:r>
                      <w:rPr>
                        <w:spacing w:val="-5"/>
                        <w:w w:val="105"/>
                      </w:rPr>
                      <w:fldChar w:fldCharType="begin"/>
                    </w:r>
                    <w:r>
                      <w:rPr>
                        <w:spacing w:val="-5"/>
                        <w:w w:val="105"/>
                      </w:rPr>
                      <w:instrText> PAGE </w:instrText>
                    </w:r>
                    <w:r>
                      <w:rPr>
                        <w:spacing w:val="-5"/>
                        <w:w w:val="105"/>
                      </w:rPr>
                      <w:fldChar w:fldCharType="separate"/>
                    </w:r>
                    <w:r>
                      <w:rPr>
                        <w:spacing w:val="-5"/>
                        <w:w w:val="105"/>
                      </w:rPr>
                      <w:t>42</w:t>
                    </w:r>
                    <w:r>
                      <w:rPr>
                        <w:spacing w:val="-5"/>
                        <w:w w:val="10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17" w:hanging="526"/>
        <w:jc w:val="left"/>
      </w:pPr>
      <w:rPr>
        <w:rFonts w:hint="default" w:ascii="Times New Roman" w:hAnsi="Times New Roman" w:eastAsia="Times New Roman" w:cs="Times New Roman"/>
        <w:b w:val="0"/>
        <w:bCs w:val="0"/>
        <w:i w:val="0"/>
        <w:iCs w:val="0"/>
        <w:spacing w:val="0"/>
        <w:w w:val="102"/>
        <w:sz w:val="23"/>
        <w:szCs w:val="23"/>
        <w:lang w:val="en-US" w:eastAsia="en-US" w:bidi="ar-SA"/>
      </w:rPr>
    </w:lvl>
    <w:lvl w:ilvl="1">
      <w:start w:val="0"/>
      <w:numFmt w:val="bullet"/>
      <w:lvlText w:val="•"/>
      <w:lvlJc w:val="left"/>
      <w:pPr>
        <w:ind w:left="1816" w:hanging="526"/>
      </w:pPr>
      <w:rPr>
        <w:rFonts w:hint="default"/>
        <w:lang w:val="en-US" w:eastAsia="en-US" w:bidi="ar-SA"/>
      </w:rPr>
    </w:lvl>
    <w:lvl w:ilvl="2">
      <w:start w:val="0"/>
      <w:numFmt w:val="bullet"/>
      <w:lvlText w:val="•"/>
      <w:lvlJc w:val="left"/>
      <w:pPr>
        <w:ind w:left="2612" w:hanging="526"/>
      </w:pPr>
      <w:rPr>
        <w:rFonts w:hint="default"/>
        <w:lang w:val="en-US" w:eastAsia="en-US" w:bidi="ar-SA"/>
      </w:rPr>
    </w:lvl>
    <w:lvl w:ilvl="3">
      <w:start w:val="0"/>
      <w:numFmt w:val="bullet"/>
      <w:lvlText w:val="•"/>
      <w:lvlJc w:val="left"/>
      <w:pPr>
        <w:ind w:left="3408" w:hanging="526"/>
      </w:pPr>
      <w:rPr>
        <w:rFonts w:hint="default"/>
        <w:lang w:val="en-US" w:eastAsia="en-US" w:bidi="ar-SA"/>
      </w:rPr>
    </w:lvl>
    <w:lvl w:ilvl="4">
      <w:start w:val="0"/>
      <w:numFmt w:val="bullet"/>
      <w:lvlText w:val="•"/>
      <w:lvlJc w:val="left"/>
      <w:pPr>
        <w:ind w:left="4204" w:hanging="526"/>
      </w:pPr>
      <w:rPr>
        <w:rFonts w:hint="default"/>
        <w:lang w:val="en-US" w:eastAsia="en-US" w:bidi="ar-SA"/>
      </w:rPr>
    </w:lvl>
    <w:lvl w:ilvl="5">
      <w:start w:val="0"/>
      <w:numFmt w:val="bullet"/>
      <w:lvlText w:val="•"/>
      <w:lvlJc w:val="left"/>
      <w:pPr>
        <w:ind w:left="5000" w:hanging="526"/>
      </w:pPr>
      <w:rPr>
        <w:rFonts w:hint="default"/>
        <w:lang w:val="en-US" w:eastAsia="en-US" w:bidi="ar-SA"/>
      </w:rPr>
    </w:lvl>
    <w:lvl w:ilvl="6">
      <w:start w:val="0"/>
      <w:numFmt w:val="bullet"/>
      <w:lvlText w:val="•"/>
      <w:lvlJc w:val="left"/>
      <w:pPr>
        <w:ind w:left="5796" w:hanging="526"/>
      </w:pPr>
      <w:rPr>
        <w:rFonts w:hint="default"/>
        <w:lang w:val="en-US" w:eastAsia="en-US" w:bidi="ar-SA"/>
      </w:rPr>
    </w:lvl>
    <w:lvl w:ilvl="7">
      <w:start w:val="0"/>
      <w:numFmt w:val="bullet"/>
      <w:lvlText w:val="•"/>
      <w:lvlJc w:val="left"/>
      <w:pPr>
        <w:ind w:left="6593" w:hanging="526"/>
      </w:pPr>
      <w:rPr>
        <w:rFonts w:hint="default"/>
        <w:lang w:val="en-US" w:eastAsia="en-US" w:bidi="ar-SA"/>
      </w:rPr>
    </w:lvl>
    <w:lvl w:ilvl="8">
      <w:start w:val="0"/>
      <w:numFmt w:val="bullet"/>
      <w:lvlText w:val="•"/>
      <w:lvlJc w:val="left"/>
      <w:pPr>
        <w:ind w:left="7389" w:hanging="52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0"/>
      <w:ind w:left="20"/>
      <w:outlineLvl w:val="1"/>
    </w:pPr>
    <w:rPr>
      <w:rFonts w:ascii="Times New Roman" w:hAnsi="Times New Roman" w:eastAsia="Times New Roman" w:cs="Times New Roman"/>
      <w:sz w:val="23"/>
      <w:szCs w:val="23"/>
      <w:lang w:val="en-US" w:eastAsia="en-US" w:bidi="ar-SA"/>
    </w:rPr>
  </w:style>
  <w:style w:styleId="ListParagraph" w:type="paragraph">
    <w:name w:val="List Paragraph"/>
    <w:basedOn w:val="Normal"/>
    <w:uiPriority w:val="1"/>
    <w:qFormat/>
    <w:pPr>
      <w:ind w:left="1005" w:hanging="532"/>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header" Target="head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header" Target="header12.xml"/><Relationship Id="rId25" Type="http://schemas.openxmlformats.org/officeDocument/2006/relationships/header" Target="header13.xml"/><Relationship Id="rId26" Type="http://schemas.openxmlformats.org/officeDocument/2006/relationships/header" Target="header14.xml"/><Relationship Id="rId27" Type="http://schemas.openxmlformats.org/officeDocument/2006/relationships/header" Target="header15.xml"/><Relationship Id="rId28" Type="http://schemas.openxmlformats.org/officeDocument/2006/relationships/header" Target="header16.xml"/><Relationship Id="rId29" Type="http://schemas.openxmlformats.org/officeDocument/2006/relationships/header" Target="header17.xml"/><Relationship Id="rId30" Type="http://schemas.openxmlformats.org/officeDocument/2006/relationships/header" Target="header18.xml"/><Relationship Id="rId31" Type="http://schemas.openxmlformats.org/officeDocument/2006/relationships/header" Target="header19.xml"/><Relationship Id="rId32" Type="http://schemas.openxmlformats.org/officeDocument/2006/relationships/header" Target="header20.xml"/><Relationship Id="rId33" Type="http://schemas.openxmlformats.org/officeDocument/2006/relationships/header" Target="header21.xml"/><Relationship Id="rId34" Type="http://schemas.openxmlformats.org/officeDocument/2006/relationships/header" Target="header22.xml"/><Relationship Id="rId35" Type="http://schemas.openxmlformats.org/officeDocument/2006/relationships/header" Target="header23.xml"/><Relationship Id="rId36" Type="http://schemas.openxmlformats.org/officeDocument/2006/relationships/header" Target="header24.xml"/><Relationship Id="rId37" Type="http://schemas.openxmlformats.org/officeDocument/2006/relationships/header" Target="header25.xml"/><Relationship Id="rId38" Type="http://schemas.openxmlformats.org/officeDocument/2006/relationships/header" Target="header26.xml"/><Relationship Id="rId39" Type="http://schemas.openxmlformats.org/officeDocument/2006/relationships/header" Target="header27.xml"/><Relationship Id="rId40" Type="http://schemas.openxmlformats.org/officeDocument/2006/relationships/header" Target="header28.xml"/><Relationship Id="rId41" Type="http://schemas.openxmlformats.org/officeDocument/2006/relationships/header" Target="header29.xml"/><Relationship Id="rId42" Type="http://schemas.openxmlformats.org/officeDocument/2006/relationships/header" Target="header30.xml"/><Relationship Id="rId43" Type="http://schemas.openxmlformats.org/officeDocument/2006/relationships/header" Target="header31.xml"/><Relationship Id="rId44" Type="http://schemas.openxmlformats.org/officeDocument/2006/relationships/header" Target="header32.xml"/><Relationship Id="rId45" Type="http://schemas.openxmlformats.org/officeDocument/2006/relationships/header" Target="header33.xml"/><Relationship Id="rId46" Type="http://schemas.openxmlformats.org/officeDocument/2006/relationships/header" Target="header34.xml"/><Relationship Id="rId47" Type="http://schemas.openxmlformats.org/officeDocument/2006/relationships/header" Target="header35.xml"/><Relationship Id="rId48" Type="http://schemas.openxmlformats.org/officeDocument/2006/relationships/header" Target="header36.xml"/><Relationship Id="rId49" Type="http://schemas.openxmlformats.org/officeDocument/2006/relationships/header" Target="header37.xml"/><Relationship Id="rId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2026-09-28T21:57:38Z</dcterms:created>
  <dcterms:modified xsi:type="dcterms:W3CDTF">2026-09-28T21:57:38Z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2012-11-24T00:00:00Z</vt:filetime>
  </property>
  <property fmtid="{D5CDD505-2E9C-101B-9397-08002B2CF9AE}" pid="3" name="LastSaved">
    <vt:filetime>2026-09-28T00:00:00Z</vt:filetime>
  </property>
  <property fmtid="{D5CDD505-2E9C-101B-9397-08002B2CF9AE}" pid="4" name="Producer">
    <vt:lpwstr>ABBYY Recognition Server</vt:lpwstr>
  </property>
</Properties>
</file>