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9"/>
        <w:rPr>
          <w:rFonts w:ascii="Times New Roman"/>
          <w:sz w:val="20"/>
        </w:rPr>
      </w:pPr>
    </w:p>
    <w:p>
      <w:pPr>
        <w:pStyle w:val="BodyText"/>
        <w:ind w:left="70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923430" cy="139369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3430" cy="139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32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31660" w:h="20360" w:orient="landscape"/>
          <w:pgMar w:top="0" w:bottom="0" w:left="0" w:right="0"/>
        </w:sectPr>
      </w:pPr>
    </w:p>
    <w:p>
      <w:pPr>
        <w:pStyle w:val="Heading1"/>
        <w:spacing w:before="105"/>
        <w:ind w:left="2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24531</wp:posOffset>
                </wp:positionH>
                <wp:positionV relativeFrom="page">
                  <wp:posOffset>12675156</wp:posOffset>
                </wp:positionV>
                <wp:extent cx="20079970" cy="24892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0079970" cy="248920"/>
                          <a:chExt cx="20079970" cy="2489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0686"/>
                            <a:ext cx="20079970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79970" h="208279">
                                <a:moveTo>
                                  <a:pt x="200795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221"/>
                                </a:lnTo>
                                <a:lnTo>
                                  <a:pt x="20079567" y="208221"/>
                                </a:lnTo>
                                <a:lnTo>
                                  <a:pt x="200795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9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007997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79970" h="42545">
                                <a:moveTo>
                                  <a:pt x="200795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481"/>
                                </a:lnTo>
                                <a:lnTo>
                                  <a:pt x="20079567" y="42481"/>
                                </a:lnTo>
                                <a:lnTo>
                                  <a:pt x="200795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6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.931637pt;margin-top:998.043823pt;width:1581.1pt;height:19.6pt;mso-position-horizontal-relative:page;mso-position-vertical-relative:page;z-index:-15793664" id="docshapegroup1" coordorigin="39,19961" coordsize="31622,392">
                <v:rect style="position:absolute;left:38;top:20024;width:31622;height:328" id="docshape2" filled="true" fillcolor="#1f497d" stroked="false">
                  <v:fill type="solid"/>
                </v:rect>
                <v:rect style="position:absolute;left:38;top:19960;width:31622;height:67" id="docshape3" filled="true" fillcolor="#e36c09" stroked="false">
                  <v:fill type="solid"/>
                </v:rect>
                <w10:wrap type="none"/>
              </v:group>
            </w:pict>
          </mc:Fallback>
        </mc:AlternateContent>
      </w:r>
      <w:bookmarkStart w:name="Slide Number 1" w:id="1"/>
      <w:bookmarkEnd w:id="1"/>
      <w:r>
        <w:rPr>
          <w:b w:val="0"/>
        </w:rPr>
      </w:r>
      <w:r>
        <w:rPr>
          <w:color w:val="1F497D"/>
          <w:spacing w:val="-2"/>
        </w:rPr>
        <w:t>Introduction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  <w:tab w:pos="548" w:val="left" w:leader="none"/>
        </w:tabs>
        <w:spacing w:line="273" w:lineRule="auto" w:before="79" w:after="0"/>
        <w:ind w:left="479" w:right="38" w:hanging="212"/>
        <w:jc w:val="both"/>
        <w:rPr>
          <w:sz w:val="39"/>
        </w:rPr>
      </w:pPr>
      <w:r>
        <w:rPr>
          <w:sz w:val="39"/>
        </w:rPr>
        <w:tab/>
        <w:t>Diet regulation is one of the prime markers of health behavior and overall well-being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  <w:tab w:pos="547" w:val="left" w:leader="none"/>
        </w:tabs>
        <w:spacing w:line="237" w:lineRule="auto" w:before="435" w:after="0"/>
        <w:ind w:left="479" w:right="38" w:hanging="213"/>
        <w:jc w:val="both"/>
        <w:rPr>
          <w:sz w:val="39"/>
        </w:rPr>
      </w:pPr>
      <w:r>
        <w:rPr>
          <w:sz w:val="39"/>
        </w:rPr>
        <w:tab/>
        <w:t>Past literature discovered a strong association between high sugar intake and low cognitive abilities in aging adults (Ye et al., 2011)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  <w:tab w:pos="548" w:val="left" w:leader="none"/>
        </w:tabs>
        <w:spacing w:line="237" w:lineRule="auto" w:before="470" w:after="0"/>
        <w:ind w:left="479" w:right="38" w:hanging="212"/>
        <w:jc w:val="both"/>
        <w:rPr>
          <w:sz w:val="39"/>
        </w:rPr>
      </w:pPr>
      <w:r>
        <w:rPr>
          <w:sz w:val="39"/>
        </w:rPr>
        <w:tab/>
        <w:t>Previously, rats that ingested high sugar water found to experience greater oxidative stress than control group (Beilharz,</w:t>
      </w:r>
      <w:r>
        <w:rPr>
          <w:spacing w:val="80"/>
          <w:sz w:val="39"/>
        </w:rPr>
        <w:t> </w:t>
      </w:r>
      <w:r>
        <w:rPr>
          <w:sz w:val="39"/>
        </w:rPr>
        <w:t>Maniam, &amp; Morris, 2014)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  <w:tab w:pos="547" w:val="left" w:leader="none"/>
        </w:tabs>
        <w:spacing w:line="237" w:lineRule="auto" w:before="470" w:after="0"/>
        <w:ind w:left="478" w:right="39" w:hanging="212"/>
        <w:jc w:val="both"/>
        <w:rPr>
          <w:sz w:val="39"/>
        </w:rPr>
      </w:pPr>
      <w:r>
        <w:rPr>
          <w:sz w:val="39"/>
        </w:rPr>
        <w:tab/>
        <w:t>In the past, adhering to a high fat diet resulted in slower learning abilities in the aging adults (Attuquayefio et al., 2016)</w:t>
      </w:r>
    </w:p>
    <w:p>
      <w:pPr>
        <w:pStyle w:val="BodyText"/>
        <w:spacing w:before="272"/>
      </w:pPr>
    </w:p>
    <w:p>
      <w:pPr>
        <w:pStyle w:val="Heading1"/>
        <w:ind w:left="226" w:right="2"/>
      </w:pPr>
      <w:r>
        <w:rPr>
          <w:color w:val="1F497D"/>
          <w:spacing w:val="-2"/>
        </w:rPr>
        <w:t>Hypothesis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  <w:tab w:pos="547" w:val="left" w:leader="none"/>
        </w:tabs>
        <w:spacing w:line="237" w:lineRule="auto" w:before="104" w:after="0"/>
        <w:ind w:left="479" w:right="38" w:hanging="213"/>
        <w:jc w:val="both"/>
        <w:rPr>
          <w:sz w:val="39"/>
        </w:rPr>
      </w:pPr>
      <w:r>
        <w:rPr>
          <w:sz w:val="39"/>
        </w:rPr>
        <w:tab/>
        <w:t>Old rats on a nutritionally balanced standard diet would perform better on cognitive learning tasks than rats on either a high-sucrose or high-fat diets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  <w:tab w:pos="548" w:val="left" w:leader="none"/>
        </w:tabs>
        <w:spacing w:line="237" w:lineRule="auto" w:before="470" w:after="0"/>
        <w:ind w:left="479" w:right="39" w:hanging="212"/>
        <w:jc w:val="both"/>
        <w:rPr>
          <w:sz w:val="39"/>
        </w:rPr>
      </w:pPr>
      <w:r>
        <w:rPr>
          <w:sz w:val="39"/>
        </w:rPr>
        <w:tab/>
        <w:t>There would be a difference in learning abilities between high-sucrose and high-fat diet groups</w:t>
      </w:r>
    </w:p>
    <w:p>
      <w:pPr>
        <w:pStyle w:val="Heading1"/>
        <w:spacing w:line="681" w:lineRule="exact" w:before="49"/>
        <w:ind w:left="391"/>
      </w:pPr>
      <w:r>
        <w:rPr>
          <w:b w:val="0"/>
        </w:rPr>
        <w:br w:type="column"/>
      </w:r>
      <w:r>
        <w:rPr>
          <w:color w:val="1F497D"/>
          <w:spacing w:val="-2"/>
        </w:rPr>
        <w:t>Methods</w:t>
      </w:r>
    </w:p>
    <w:p>
      <w:pPr>
        <w:spacing w:line="240" w:lineRule="auto" w:before="0"/>
        <w:ind w:left="299" w:right="0" w:firstLine="0"/>
        <w:jc w:val="left"/>
        <w:rPr>
          <w:sz w:val="39"/>
        </w:rPr>
      </w:pPr>
      <w:r>
        <w:rPr>
          <w:b/>
          <w:i/>
          <w:sz w:val="39"/>
        </w:rPr>
        <w:t>Subjects: </w:t>
      </w:r>
      <w:r>
        <w:rPr>
          <w:sz w:val="39"/>
        </w:rPr>
        <w:t>15-month-old male Sprague-Dawley </w:t>
      </w:r>
      <w:r>
        <w:rPr>
          <w:spacing w:val="-4"/>
          <w:sz w:val="39"/>
        </w:rPr>
        <w:t>rats</w:t>
      </w:r>
    </w:p>
    <w:p>
      <w:pPr>
        <w:pStyle w:val="ListParagraph"/>
        <w:numPr>
          <w:ilvl w:val="0"/>
          <w:numId w:val="1"/>
        </w:numPr>
        <w:tabs>
          <w:tab w:pos="511" w:val="left" w:leader="none"/>
          <w:tab w:pos="612" w:val="left" w:leader="none"/>
        </w:tabs>
        <w:spacing w:line="237" w:lineRule="auto" w:before="0" w:after="0"/>
        <w:ind w:left="511" w:right="326" w:hanging="212"/>
        <w:jc w:val="left"/>
        <w:rPr>
          <w:sz w:val="39"/>
        </w:rPr>
      </w:pPr>
      <w:r>
        <w:rPr>
          <w:sz w:val="39"/>
        </w:rPr>
        <w:tab/>
        <w:t>Standard diet (4% sucrose, 1.5% saturated </w:t>
      </w:r>
      <w:r>
        <w:rPr>
          <w:spacing w:val="-4"/>
          <w:sz w:val="39"/>
        </w:rPr>
        <w:t>fat)</w:t>
      </w:r>
    </w:p>
    <w:p>
      <w:pPr>
        <w:pStyle w:val="ListParagraph"/>
        <w:numPr>
          <w:ilvl w:val="0"/>
          <w:numId w:val="1"/>
        </w:numPr>
        <w:tabs>
          <w:tab w:pos="612" w:val="left" w:leader="none"/>
        </w:tabs>
        <w:spacing w:line="472" w:lineRule="exact" w:before="0" w:after="0"/>
        <w:ind w:left="612" w:right="0" w:hanging="313"/>
        <w:jc w:val="left"/>
        <w:rPr>
          <w:sz w:val="39"/>
        </w:rPr>
      </w:pPr>
      <w:r>
        <w:rPr>
          <w:sz w:val="39"/>
        </w:rPr>
        <w:t>High-sucrose</w:t>
      </w:r>
      <w:r>
        <w:rPr>
          <w:spacing w:val="-8"/>
          <w:sz w:val="39"/>
        </w:rPr>
        <w:t> </w:t>
      </w:r>
      <w:r>
        <w:rPr>
          <w:sz w:val="39"/>
        </w:rPr>
        <w:t>(35%</w:t>
      </w:r>
      <w:r>
        <w:rPr>
          <w:spacing w:val="-4"/>
          <w:sz w:val="39"/>
        </w:rPr>
        <w:t> </w:t>
      </w:r>
      <w:r>
        <w:rPr>
          <w:spacing w:val="-2"/>
          <w:sz w:val="39"/>
        </w:rPr>
        <w:t>sucrose)</w:t>
      </w:r>
    </w:p>
    <w:p>
      <w:pPr>
        <w:pStyle w:val="ListParagraph"/>
        <w:numPr>
          <w:ilvl w:val="0"/>
          <w:numId w:val="1"/>
        </w:numPr>
        <w:tabs>
          <w:tab w:pos="612" w:val="left" w:leader="none"/>
        </w:tabs>
        <w:spacing w:line="474" w:lineRule="exact" w:before="0" w:after="0"/>
        <w:ind w:left="612" w:right="0" w:hanging="313"/>
        <w:jc w:val="left"/>
        <w:rPr>
          <w:sz w:val="39"/>
        </w:rPr>
      </w:pPr>
      <w:r>
        <w:rPr>
          <w:sz w:val="39"/>
        </w:rPr>
        <w:t>High-fat</w:t>
      </w:r>
      <w:r>
        <w:rPr>
          <w:spacing w:val="-7"/>
          <w:sz w:val="39"/>
        </w:rPr>
        <w:t> </w:t>
      </w:r>
      <w:r>
        <w:rPr>
          <w:sz w:val="39"/>
        </w:rPr>
        <w:t>(37%</w:t>
      </w:r>
      <w:r>
        <w:rPr>
          <w:spacing w:val="-2"/>
          <w:sz w:val="39"/>
        </w:rPr>
        <w:t> </w:t>
      </w:r>
      <w:r>
        <w:rPr>
          <w:sz w:val="39"/>
        </w:rPr>
        <w:t>saturated</w:t>
      </w:r>
      <w:r>
        <w:rPr>
          <w:spacing w:val="-5"/>
          <w:sz w:val="39"/>
        </w:rPr>
        <w:t> </w:t>
      </w:r>
      <w:r>
        <w:rPr>
          <w:spacing w:val="-4"/>
          <w:sz w:val="39"/>
        </w:rPr>
        <w:t>fat)</w:t>
      </w:r>
    </w:p>
    <w:p>
      <w:pPr>
        <w:pStyle w:val="BodyText"/>
        <w:spacing w:before="5"/>
        <w:rPr>
          <w:sz w:val="14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5202533</wp:posOffset>
            </wp:positionH>
            <wp:positionV relativeFrom="paragraph">
              <wp:posOffset>127229</wp:posOffset>
            </wp:positionV>
            <wp:extent cx="4505302" cy="3027045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302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37"/>
        <w:ind w:left="404" w:hanging="1"/>
      </w:pPr>
      <w:r>
        <w:rPr>
          <w:b/>
          <w:i/>
        </w:rPr>
        <w:t>Procedure:</w:t>
      </w:r>
      <w:r>
        <w:rPr>
          <w:b/>
          <w:i/>
          <w:spacing w:val="40"/>
        </w:rPr>
        <w:t> </w:t>
      </w:r>
      <w:r>
        <w:rPr/>
        <w:t>T-maze</w:t>
      </w:r>
      <w:r>
        <w:rPr>
          <w:spacing w:val="40"/>
        </w:rPr>
        <w:t> </w:t>
      </w:r>
      <w:r>
        <w:rPr/>
        <w:t>(Salamone</w:t>
      </w:r>
      <w:r>
        <w:rPr>
          <w:spacing w:val="40"/>
        </w:rPr>
        <w:t> </w:t>
      </w:r>
      <w:r>
        <w:rPr/>
        <w:t>et</w:t>
      </w:r>
      <w:r>
        <w:rPr>
          <w:spacing w:val="40"/>
        </w:rPr>
        <w:t> </w:t>
      </w:r>
      <w:r>
        <w:rPr/>
        <w:t>al.,</w:t>
      </w:r>
      <w:r>
        <w:rPr>
          <w:spacing w:val="40"/>
        </w:rPr>
        <w:t> </w:t>
      </w:r>
      <w:r>
        <w:rPr/>
        <w:t>1994;</w:t>
      </w:r>
      <w:r>
        <w:rPr>
          <w:spacing w:val="80"/>
        </w:rPr>
        <w:t> </w:t>
      </w:r>
      <w:r>
        <w:rPr/>
        <w:t>Bardgett et al., 2009)</w:t>
      </w:r>
    </w:p>
    <w:p>
      <w:pPr>
        <w:pStyle w:val="ListParagraph"/>
        <w:numPr>
          <w:ilvl w:val="1"/>
          <w:numId w:val="1"/>
        </w:numPr>
        <w:tabs>
          <w:tab w:pos="788" w:val="left" w:leader="none"/>
        </w:tabs>
        <w:spacing w:line="465" w:lineRule="exact" w:before="0" w:after="0"/>
        <w:ind w:left="788" w:right="0" w:hanging="384"/>
        <w:jc w:val="left"/>
        <w:rPr>
          <w:sz w:val="39"/>
        </w:rPr>
      </w:pPr>
      <w:r>
        <w:rPr>
          <w:sz w:val="39"/>
        </w:rPr>
        <w:t>Diets</w:t>
      </w:r>
      <w:r>
        <w:rPr>
          <w:spacing w:val="-5"/>
          <w:sz w:val="39"/>
        </w:rPr>
        <w:t> </w:t>
      </w:r>
      <w:r>
        <w:rPr>
          <w:sz w:val="39"/>
        </w:rPr>
        <w:t>ad-libitum</w:t>
      </w:r>
      <w:r>
        <w:rPr>
          <w:spacing w:val="-3"/>
          <w:sz w:val="39"/>
        </w:rPr>
        <w:t> </w:t>
      </w:r>
      <w:r>
        <w:rPr>
          <w:sz w:val="39"/>
        </w:rPr>
        <w:t>for</w:t>
      </w:r>
      <w:r>
        <w:rPr>
          <w:spacing w:val="-2"/>
          <w:sz w:val="39"/>
        </w:rPr>
        <w:t> </w:t>
      </w:r>
      <w:r>
        <w:rPr>
          <w:sz w:val="39"/>
        </w:rPr>
        <w:t>21 </w:t>
      </w:r>
      <w:r>
        <w:rPr>
          <w:spacing w:val="-4"/>
          <w:sz w:val="39"/>
        </w:rPr>
        <w:t>days</w:t>
      </w:r>
    </w:p>
    <w:p>
      <w:pPr>
        <w:pStyle w:val="ListParagraph"/>
        <w:numPr>
          <w:ilvl w:val="1"/>
          <w:numId w:val="1"/>
        </w:numPr>
        <w:tabs>
          <w:tab w:pos="686" w:val="left" w:leader="none"/>
          <w:tab w:pos="787" w:val="left" w:leader="none"/>
        </w:tabs>
        <w:spacing w:line="240" w:lineRule="auto" w:before="0" w:after="0"/>
        <w:ind w:left="686" w:right="39" w:hanging="283"/>
        <w:jc w:val="left"/>
        <w:rPr>
          <w:sz w:val="39"/>
        </w:rPr>
      </w:pPr>
      <w:r>
        <w:rPr>
          <w:sz w:val="39"/>
        </w:rPr>
        <w:tab/>
        <w:t>Limited</w:t>
      </w:r>
      <w:r>
        <w:rPr>
          <w:spacing w:val="80"/>
          <w:sz w:val="39"/>
        </w:rPr>
        <w:t> </w:t>
      </w:r>
      <w:r>
        <w:rPr>
          <w:sz w:val="39"/>
        </w:rPr>
        <w:t>amount</w:t>
      </w:r>
      <w:r>
        <w:rPr>
          <w:spacing w:val="80"/>
          <w:sz w:val="39"/>
        </w:rPr>
        <w:t> </w:t>
      </w:r>
      <w:r>
        <w:rPr>
          <w:sz w:val="39"/>
        </w:rPr>
        <w:t>of</w:t>
      </w:r>
      <w:r>
        <w:rPr>
          <w:spacing w:val="80"/>
          <w:sz w:val="39"/>
        </w:rPr>
        <w:t> </w:t>
      </w:r>
      <w:r>
        <w:rPr>
          <w:sz w:val="39"/>
        </w:rPr>
        <w:t>food</w:t>
      </w:r>
      <w:r>
        <w:rPr>
          <w:spacing w:val="80"/>
          <w:sz w:val="39"/>
        </w:rPr>
        <w:t> </w:t>
      </w:r>
      <w:r>
        <w:rPr>
          <w:sz w:val="39"/>
        </w:rPr>
        <w:t>starting</w:t>
      </w:r>
      <w:r>
        <w:rPr>
          <w:spacing w:val="80"/>
          <w:sz w:val="39"/>
        </w:rPr>
        <w:t> </w:t>
      </w:r>
      <w:r>
        <w:rPr>
          <w:sz w:val="39"/>
        </w:rPr>
        <w:t>testing </w:t>
      </w:r>
      <w:r>
        <w:rPr>
          <w:spacing w:val="-4"/>
          <w:sz w:val="39"/>
        </w:rPr>
        <w:t>day</w:t>
      </w:r>
    </w:p>
    <w:p>
      <w:pPr>
        <w:pStyle w:val="ListParagraph"/>
        <w:numPr>
          <w:ilvl w:val="1"/>
          <w:numId w:val="1"/>
        </w:numPr>
        <w:tabs>
          <w:tab w:pos="616" w:val="left" w:leader="none"/>
          <w:tab w:pos="716" w:val="left" w:leader="none"/>
          <w:tab w:pos="2986" w:val="left" w:leader="none"/>
          <w:tab w:pos="3554" w:val="left" w:leader="none"/>
          <w:tab w:pos="4910" w:val="left" w:leader="none"/>
          <w:tab w:pos="5500" w:val="left" w:leader="none"/>
          <w:tab w:pos="6382" w:val="left" w:leader="none"/>
          <w:tab w:pos="7108" w:val="left" w:leader="none"/>
        </w:tabs>
        <w:spacing w:line="240" w:lineRule="auto" w:before="0" w:after="0"/>
        <w:ind w:left="616" w:right="42" w:hanging="213"/>
        <w:jc w:val="left"/>
        <w:rPr>
          <w:sz w:val="39"/>
        </w:rPr>
      </w:pPr>
      <w:r>
        <w:rPr>
          <w:sz w:val="39"/>
          <w:u w:val="single"/>
        </w:rPr>
        <w:tab/>
      </w:r>
      <w:r>
        <w:rPr>
          <w:i/>
          <w:spacing w:val="-2"/>
          <w:sz w:val="39"/>
          <w:u w:val="single"/>
        </w:rPr>
        <w:t>Habituation</w:t>
      </w:r>
      <w:r>
        <w:rPr>
          <w:i/>
          <w:spacing w:val="-2"/>
          <w:sz w:val="39"/>
          <w:u w:val="none"/>
        </w:rPr>
        <w:t>:</w:t>
      </w:r>
      <w:r>
        <w:rPr>
          <w:i/>
          <w:sz w:val="39"/>
          <w:u w:val="none"/>
        </w:rPr>
        <w:tab/>
      </w:r>
      <w:r>
        <w:rPr>
          <w:spacing w:val="-6"/>
          <w:sz w:val="39"/>
          <w:u w:val="none"/>
        </w:rPr>
        <w:t>In</w:t>
      </w:r>
      <w:r>
        <w:rPr>
          <w:sz w:val="39"/>
          <w:u w:val="none"/>
        </w:rPr>
        <w:tab/>
      </w:r>
      <w:r>
        <w:rPr>
          <w:spacing w:val="-2"/>
          <w:sz w:val="39"/>
          <w:u w:val="none"/>
        </w:rPr>
        <w:t>groups</w:t>
      </w:r>
      <w:r>
        <w:rPr>
          <w:sz w:val="39"/>
          <w:u w:val="none"/>
        </w:rPr>
        <w:tab/>
      </w:r>
      <w:r>
        <w:rPr>
          <w:spacing w:val="-6"/>
          <w:sz w:val="39"/>
          <w:u w:val="none"/>
        </w:rPr>
        <w:t>of</w:t>
      </w:r>
      <w:r>
        <w:rPr>
          <w:sz w:val="39"/>
          <w:u w:val="none"/>
        </w:rPr>
        <w:tab/>
      </w:r>
      <w:r>
        <w:rPr>
          <w:spacing w:val="-4"/>
          <w:sz w:val="39"/>
          <w:u w:val="none"/>
        </w:rPr>
        <w:t>two</w:t>
      </w:r>
      <w:r>
        <w:rPr>
          <w:sz w:val="39"/>
          <w:u w:val="none"/>
        </w:rPr>
        <w:tab/>
      </w:r>
      <w:r>
        <w:rPr>
          <w:spacing w:val="-4"/>
          <w:sz w:val="39"/>
          <w:u w:val="none"/>
        </w:rPr>
        <w:t>for</w:t>
      </w:r>
      <w:r>
        <w:rPr>
          <w:sz w:val="39"/>
          <w:u w:val="none"/>
        </w:rPr>
        <w:tab/>
      </w:r>
      <w:r>
        <w:rPr>
          <w:spacing w:val="-4"/>
          <w:sz w:val="39"/>
          <w:u w:val="none"/>
        </w:rPr>
        <w:t>ten </w:t>
      </w:r>
      <w:r>
        <w:rPr>
          <w:spacing w:val="-2"/>
          <w:sz w:val="39"/>
          <w:u w:val="none"/>
        </w:rPr>
        <w:t>minutes</w:t>
      </w:r>
    </w:p>
    <w:p>
      <w:pPr>
        <w:pStyle w:val="ListParagraph"/>
        <w:numPr>
          <w:ilvl w:val="1"/>
          <w:numId w:val="1"/>
        </w:numPr>
        <w:tabs>
          <w:tab w:pos="717" w:val="left" w:leader="none"/>
        </w:tabs>
        <w:spacing w:line="464" w:lineRule="exact" w:before="0" w:after="0"/>
        <w:ind w:left="717" w:right="0" w:hanging="313"/>
        <w:jc w:val="left"/>
        <w:rPr>
          <w:sz w:val="39"/>
        </w:rPr>
      </w:pPr>
      <w:r>
        <w:rPr>
          <w:i/>
          <w:sz w:val="39"/>
          <w:u w:val="single"/>
        </w:rPr>
        <w:t>Learning</w:t>
      </w:r>
      <w:r>
        <w:rPr>
          <w:sz w:val="39"/>
          <w:u w:val="none"/>
        </w:rPr>
        <w:t>:</w:t>
      </w:r>
      <w:r>
        <w:rPr>
          <w:spacing w:val="-5"/>
          <w:sz w:val="39"/>
          <w:u w:val="none"/>
        </w:rPr>
        <w:t> </w:t>
      </w:r>
      <w:r>
        <w:rPr>
          <w:sz w:val="39"/>
          <w:u w:val="none"/>
        </w:rPr>
        <w:t>Randomly</w:t>
      </w:r>
      <w:r>
        <w:rPr>
          <w:spacing w:val="-3"/>
          <w:sz w:val="39"/>
          <w:u w:val="none"/>
        </w:rPr>
        <w:t> </w:t>
      </w:r>
      <w:r>
        <w:rPr>
          <w:sz w:val="39"/>
          <w:u w:val="none"/>
        </w:rPr>
        <w:t>assigned</w:t>
      </w:r>
      <w:r>
        <w:rPr>
          <w:spacing w:val="-5"/>
          <w:sz w:val="39"/>
          <w:u w:val="none"/>
        </w:rPr>
        <w:t> </w:t>
      </w:r>
      <w:r>
        <w:rPr>
          <w:sz w:val="39"/>
          <w:u w:val="none"/>
        </w:rPr>
        <w:t>to</w:t>
      </w:r>
      <w:r>
        <w:rPr>
          <w:spacing w:val="-4"/>
          <w:sz w:val="39"/>
          <w:u w:val="none"/>
        </w:rPr>
        <w:t> </w:t>
      </w:r>
      <w:r>
        <w:rPr>
          <w:sz w:val="39"/>
          <w:u w:val="none"/>
        </w:rPr>
        <w:t>baited</w:t>
      </w:r>
      <w:r>
        <w:rPr>
          <w:spacing w:val="-5"/>
          <w:sz w:val="39"/>
          <w:u w:val="none"/>
        </w:rPr>
        <w:t> arm</w:t>
      </w:r>
    </w:p>
    <w:p>
      <w:pPr>
        <w:pStyle w:val="ListParagraph"/>
        <w:numPr>
          <w:ilvl w:val="2"/>
          <w:numId w:val="1"/>
        </w:numPr>
        <w:tabs>
          <w:tab w:pos="1571" w:val="left" w:leader="none"/>
        </w:tabs>
        <w:spacing w:line="471" w:lineRule="exact" w:before="0" w:after="0"/>
        <w:ind w:left="1571" w:right="0" w:hanging="314"/>
        <w:jc w:val="left"/>
        <w:rPr>
          <w:sz w:val="39"/>
        </w:rPr>
      </w:pPr>
      <w:r>
        <w:rPr>
          <w:sz w:val="39"/>
        </w:rPr>
        <w:t>First,</w:t>
      </w:r>
      <w:r>
        <w:rPr>
          <w:spacing w:val="-5"/>
          <w:sz w:val="39"/>
        </w:rPr>
        <w:t> </w:t>
      </w:r>
      <w:r>
        <w:rPr>
          <w:sz w:val="39"/>
        </w:rPr>
        <w:t>un-baited</w:t>
      </w:r>
      <w:r>
        <w:rPr>
          <w:spacing w:val="-5"/>
          <w:sz w:val="39"/>
        </w:rPr>
        <w:t> </w:t>
      </w:r>
      <w:r>
        <w:rPr>
          <w:sz w:val="39"/>
        </w:rPr>
        <w:t>arm</w:t>
      </w:r>
      <w:r>
        <w:rPr>
          <w:spacing w:val="-2"/>
          <w:sz w:val="39"/>
        </w:rPr>
        <w:t> </w:t>
      </w:r>
      <w:r>
        <w:rPr>
          <w:sz w:val="39"/>
        </w:rPr>
        <w:t>is</w:t>
      </w:r>
      <w:r>
        <w:rPr>
          <w:spacing w:val="-2"/>
          <w:sz w:val="39"/>
        </w:rPr>
        <w:t> blocked</w:t>
      </w:r>
    </w:p>
    <w:p>
      <w:pPr>
        <w:pStyle w:val="ListParagraph"/>
        <w:numPr>
          <w:ilvl w:val="2"/>
          <w:numId w:val="1"/>
        </w:numPr>
        <w:tabs>
          <w:tab w:pos="1571" w:val="left" w:leader="none"/>
        </w:tabs>
        <w:spacing w:line="473" w:lineRule="exact" w:before="0" w:after="0"/>
        <w:ind w:left="1571" w:right="0" w:hanging="314"/>
        <w:jc w:val="left"/>
        <w:rPr>
          <w:sz w:val="39"/>
        </w:rPr>
      </w:pPr>
      <w:r>
        <w:rPr>
          <w:sz w:val="39"/>
        </w:rPr>
        <w:t>Next,</w:t>
      </w:r>
      <w:r>
        <w:rPr>
          <w:spacing w:val="-2"/>
          <w:sz w:val="39"/>
        </w:rPr>
        <w:t> </w:t>
      </w:r>
      <w:r>
        <w:rPr>
          <w:sz w:val="39"/>
        </w:rPr>
        <w:t>the</w:t>
      </w:r>
      <w:r>
        <w:rPr>
          <w:spacing w:val="-3"/>
          <w:sz w:val="39"/>
        </w:rPr>
        <w:t> </w:t>
      </w:r>
      <w:r>
        <w:rPr>
          <w:sz w:val="39"/>
        </w:rPr>
        <w:t>baited</w:t>
      </w:r>
      <w:r>
        <w:rPr>
          <w:spacing w:val="-3"/>
          <w:sz w:val="39"/>
        </w:rPr>
        <w:t> </w:t>
      </w:r>
      <w:r>
        <w:rPr>
          <w:sz w:val="39"/>
        </w:rPr>
        <w:t>arm</w:t>
      </w:r>
      <w:r>
        <w:rPr>
          <w:spacing w:val="-1"/>
          <w:sz w:val="39"/>
        </w:rPr>
        <w:t> </w:t>
      </w:r>
      <w:r>
        <w:rPr>
          <w:sz w:val="39"/>
        </w:rPr>
        <w:t>is</w:t>
      </w:r>
      <w:r>
        <w:rPr>
          <w:spacing w:val="-2"/>
          <w:sz w:val="39"/>
        </w:rPr>
        <w:t> blocked</w:t>
      </w:r>
    </w:p>
    <w:p>
      <w:pPr>
        <w:pStyle w:val="ListParagraph"/>
        <w:numPr>
          <w:ilvl w:val="1"/>
          <w:numId w:val="1"/>
        </w:numPr>
        <w:tabs>
          <w:tab w:pos="717" w:val="left" w:leader="none"/>
        </w:tabs>
        <w:spacing w:line="471" w:lineRule="exact" w:before="0" w:after="0"/>
        <w:ind w:left="717" w:right="0" w:hanging="313"/>
        <w:jc w:val="left"/>
        <w:rPr>
          <w:sz w:val="39"/>
        </w:rPr>
      </w:pPr>
      <w:r>
        <w:rPr>
          <w:i/>
          <w:sz w:val="39"/>
          <w:u w:val="single"/>
        </w:rPr>
        <w:t>Discrimination</w:t>
      </w:r>
      <w:r>
        <w:rPr>
          <w:i/>
          <w:spacing w:val="-4"/>
          <w:sz w:val="39"/>
          <w:u w:val="single"/>
        </w:rPr>
        <w:t> </w:t>
      </w:r>
      <w:r>
        <w:rPr>
          <w:i/>
          <w:sz w:val="39"/>
          <w:u w:val="single"/>
        </w:rPr>
        <w:t>I</w:t>
      </w:r>
      <w:r>
        <w:rPr>
          <w:sz w:val="39"/>
          <w:u w:val="none"/>
        </w:rPr>
        <w:t>:</w:t>
      </w:r>
      <w:r>
        <w:rPr>
          <w:spacing w:val="-3"/>
          <w:sz w:val="39"/>
          <w:u w:val="none"/>
        </w:rPr>
        <w:t> </w:t>
      </w:r>
      <w:r>
        <w:rPr>
          <w:sz w:val="39"/>
          <w:u w:val="none"/>
        </w:rPr>
        <w:t>Access</w:t>
      </w:r>
      <w:r>
        <w:rPr>
          <w:spacing w:val="-3"/>
          <w:sz w:val="39"/>
          <w:u w:val="none"/>
        </w:rPr>
        <w:t> </w:t>
      </w:r>
      <w:r>
        <w:rPr>
          <w:sz w:val="39"/>
          <w:u w:val="none"/>
        </w:rPr>
        <w:t>to</w:t>
      </w:r>
      <w:r>
        <w:rPr>
          <w:spacing w:val="-4"/>
          <w:sz w:val="39"/>
          <w:u w:val="none"/>
        </w:rPr>
        <w:t> </w:t>
      </w:r>
      <w:r>
        <w:rPr>
          <w:sz w:val="39"/>
          <w:u w:val="none"/>
        </w:rPr>
        <w:t>both</w:t>
      </w:r>
      <w:r>
        <w:rPr>
          <w:spacing w:val="-3"/>
          <w:sz w:val="39"/>
          <w:u w:val="none"/>
        </w:rPr>
        <w:t> </w:t>
      </w:r>
      <w:r>
        <w:rPr>
          <w:spacing w:val="-4"/>
          <w:sz w:val="39"/>
          <w:u w:val="none"/>
        </w:rPr>
        <w:t>arms</w:t>
      </w:r>
    </w:p>
    <w:p>
      <w:pPr>
        <w:pStyle w:val="ListParagraph"/>
        <w:numPr>
          <w:ilvl w:val="2"/>
          <w:numId w:val="1"/>
        </w:numPr>
        <w:tabs>
          <w:tab w:pos="1571" w:val="left" w:leader="none"/>
        </w:tabs>
        <w:spacing w:line="237" w:lineRule="auto" w:before="0" w:after="0"/>
        <w:ind w:left="1571" w:right="38" w:hanging="315"/>
        <w:jc w:val="both"/>
        <w:rPr>
          <w:sz w:val="39"/>
        </w:rPr>
      </w:pPr>
      <w:r>
        <w:rPr>
          <w:sz w:val="39"/>
        </w:rPr>
        <w:t>Removed after consuming the reward or reaching the end of the non-baited arm (10 trials per day until &gt;90% </w:t>
      </w:r>
      <w:r>
        <w:rPr>
          <w:spacing w:val="-2"/>
          <w:sz w:val="39"/>
        </w:rPr>
        <w:t>correct)</w:t>
      </w:r>
    </w:p>
    <w:p>
      <w:pPr>
        <w:spacing w:line="672" w:lineRule="exact" w:before="0"/>
        <w:ind w:left="603" w:right="0" w:firstLine="0"/>
        <w:jc w:val="left"/>
        <w:rPr>
          <w:b/>
          <w:i/>
          <w:sz w:val="56"/>
        </w:rPr>
      </w:pPr>
      <w:r>
        <w:rPr/>
        <w:br w:type="column"/>
      </w:r>
      <w:r>
        <w:rPr>
          <w:b/>
          <w:i/>
          <w:color w:val="1C4477"/>
          <w:sz w:val="56"/>
        </w:rPr>
        <w:t>Methods</w:t>
      </w:r>
      <w:r>
        <w:rPr>
          <w:b/>
          <w:i/>
          <w:color w:val="1C4477"/>
          <w:spacing w:val="-3"/>
          <w:sz w:val="56"/>
        </w:rPr>
        <w:t> </w:t>
      </w:r>
      <w:r>
        <w:rPr>
          <w:b/>
          <w:i/>
          <w:color w:val="1C4477"/>
          <w:spacing w:val="-2"/>
          <w:sz w:val="56"/>
        </w:rPr>
        <w:t>Continued…</w:t>
      </w:r>
    </w:p>
    <w:p>
      <w:pPr>
        <w:pStyle w:val="ListParagraph"/>
        <w:numPr>
          <w:ilvl w:val="0"/>
          <w:numId w:val="2"/>
        </w:numPr>
        <w:tabs>
          <w:tab w:pos="916" w:val="left" w:leader="none"/>
        </w:tabs>
        <w:spacing w:line="471" w:lineRule="exact" w:before="0" w:after="0"/>
        <w:ind w:left="916" w:right="0" w:hanging="313"/>
        <w:jc w:val="both"/>
        <w:rPr>
          <w:sz w:val="3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0</wp:posOffset>
                </wp:positionH>
                <wp:positionV relativeFrom="paragraph">
                  <wp:posOffset>-3074501</wp:posOffset>
                </wp:positionV>
                <wp:extent cx="20104100" cy="235394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0104100" cy="2353945"/>
                          <a:chExt cx="20104100" cy="235394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0102195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2195" h="194945">
                                <a:moveTo>
                                  <a:pt x="201017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464"/>
                                </a:lnTo>
                                <a:lnTo>
                                  <a:pt x="20101706" y="194464"/>
                                </a:lnTo>
                                <a:lnTo>
                                  <a:pt x="201017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9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91472"/>
                            <a:ext cx="2010219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2195" h="48895">
                                <a:moveTo>
                                  <a:pt x="201017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465"/>
                                </a:lnTo>
                                <a:lnTo>
                                  <a:pt x="20101706" y="48465"/>
                                </a:lnTo>
                                <a:lnTo>
                                  <a:pt x="201017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6C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47196" y="239939"/>
                            <a:ext cx="3056902" cy="2113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20104100" cy="2353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88"/>
                                <w:ind w:left="4492" w:right="4046" w:firstLine="0"/>
                                <w:jc w:val="center"/>
                                <w:rPr>
                                  <w:b/>
                                  <w:sz w:val="102"/>
                                </w:rPr>
                              </w:pPr>
                              <w:r>
                                <w:rPr>
                                  <w:b/>
                                  <w:color w:val="1F497D"/>
                                  <w:sz w:val="102"/>
                                </w:rPr>
                                <w:t>Effects</w:t>
                              </w:r>
                              <w:r>
                                <w:rPr>
                                  <w:b/>
                                  <w:color w:val="1F497D"/>
                                  <w:spacing w:val="-1"/>
                                  <w:sz w:val="10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F497D"/>
                                  <w:sz w:val="102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1F497D"/>
                                  <w:spacing w:val="-2"/>
                                  <w:sz w:val="10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F497D"/>
                                  <w:sz w:val="102"/>
                                </w:rPr>
                                <w:t>Diet on</w:t>
                              </w:r>
                              <w:r>
                                <w:rPr>
                                  <w:b/>
                                  <w:color w:val="1F497D"/>
                                  <w:spacing w:val="-1"/>
                                  <w:sz w:val="10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F497D"/>
                                  <w:sz w:val="102"/>
                                </w:rPr>
                                <w:t>Learning Abilities in</w:t>
                              </w:r>
                              <w:r>
                                <w:rPr>
                                  <w:b/>
                                  <w:color w:val="1F497D"/>
                                  <w:spacing w:val="-2"/>
                                  <w:sz w:val="10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F497D"/>
                                  <w:sz w:val="102"/>
                                </w:rPr>
                                <w:t>Old</w:t>
                              </w:r>
                              <w:r>
                                <w:rPr>
                                  <w:b/>
                                  <w:color w:val="1F497D"/>
                                  <w:spacing w:val="-1"/>
                                  <w:sz w:val="10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F497D"/>
                                  <w:spacing w:val="-4"/>
                                  <w:sz w:val="102"/>
                                </w:rPr>
                                <w:t>Rats</w:t>
                              </w:r>
                            </w:p>
                            <w:p>
                              <w:pPr>
                                <w:spacing w:line="280" w:lineRule="auto" w:before="84"/>
                                <w:ind w:left="4492" w:right="4041" w:firstLine="0"/>
                                <w:jc w:val="center"/>
                                <w:rPr>
                                  <w:b/>
                                  <w:sz w:val="43"/>
                                </w:rPr>
                              </w:pPr>
                              <w:r>
                                <w:rPr>
                                  <w:b/>
                                  <w:sz w:val="43"/>
                                </w:rPr>
                                <w:t>Ji Min Lee, Tahmarah Otoo, Amanda Jaimes, Arlene Martinez, Patrick Alcantara, Barbara J Cherry, and Jennifer Trevitt </w:t>
                              </w:r>
                              <w:r>
                                <w:rPr>
                                  <w:b/>
                                  <w:color w:val="1F497D"/>
                                  <w:sz w:val="43"/>
                                </w:rPr>
                                <w:t>Department of Psychology, California State University, Fullerton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242.086746pt;width:1583pt;height:185.35pt;mso-position-horizontal-relative:page;mso-position-vertical-relative:paragraph;z-index:-15794176" id="docshapegroup4" coordorigin="0,-4842" coordsize="31660,3707">
                <v:rect style="position:absolute;left:0;top:-4842;width:31657;height:307" id="docshape5" filled="true" fillcolor="#1f497d" stroked="false">
                  <v:fill type="solid"/>
                </v:rect>
                <v:rect style="position:absolute;left:0;top:-4541;width:31657;height:77" id="docshape6" filled="true" fillcolor="#e36c09" stroked="false">
                  <v:fill type="solid"/>
                </v:rect>
                <v:shape style="position:absolute;left:26845;top:-4464;width:4815;height:3329" type="#_x0000_t75" id="docshape7" stroked="false">
                  <v:imagedata r:id="rId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4842;width:31660;height:3707" type="#_x0000_t202" id="docshape8" filled="false" stroked="false">
                  <v:textbox inset="0,0,0,0">
                    <w:txbxContent>
                      <w:p>
                        <w:pPr>
                          <w:spacing w:before="688"/>
                          <w:ind w:left="4492" w:right="4046" w:firstLine="0"/>
                          <w:jc w:val="center"/>
                          <w:rPr>
                            <w:b/>
                            <w:sz w:val="102"/>
                          </w:rPr>
                        </w:pPr>
                        <w:r>
                          <w:rPr>
                            <w:b/>
                            <w:color w:val="1F497D"/>
                            <w:sz w:val="102"/>
                          </w:rPr>
                          <w:t>Effects</w:t>
                        </w:r>
                        <w:r>
                          <w:rPr>
                            <w:b/>
                            <w:color w:val="1F497D"/>
                            <w:spacing w:val="-1"/>
                            <w:sz w:val="102"/>
                          </w:rPr>
                          <w:t> </w:t>
                        </w:r>
                        <w:r>
                          <w:rPr>
                            <w:b/>
                            <w:color w:val="1F497D"/>
                            <w:sz w:val="102"/>
                          </w:rPr>
                          <w:t>of</w:t>
                        </w:r>
                        <w:r>
                          <w:rPr>
                            <w:b/>
                            <w:color w:val="1F497D"/>
                            <w:spacing w:val="-2"/>
                            <w:sz w:val="102"/>
                          </w:rPr>
                          <w:t> </w:t>
                        </w:r>
                        <w:r>
                          <w:rPr>
                            <w:b/>
                            <w:color w:val="1F497D"/>
                            <w:sz w:val="102"/>
                          </w:rPr>
                          <w:t>Diet on</w:t>
                        </w:r>
                        <w:r>
                          <w:rPr>
                            <w:b/>
                            <w:color w:val="1F497D"/>
                            <w:spacing w:val="-1"/>
                            <w:sz w:val="102"/>
                          </w:rPr>
                          <w:t> </w:t>
                        </w:r>
                        <w:r>
                          <w:rPr>
                            <w:b/>
                            <w:color w:val="1F497D"/>
                            <w:sz w:val="102"/>
                          </w:rPr>
                          <w:t>Learning Abilities in</w:t>
                        </w:r>
                        <w:r>
                          <w:rPr>
                            <w:b/>
                            <w:color w:val="1F497D"/>
                            <w:spacing w:val="-2"/>
                            <w:sz w:val="102"/>
                          </w:rPr>
                          <w:t> </w:t>
                        </w:r>
                        <w:r>
                          <w:rPr>
                            <w:b/>
                            <w:color w:val="1F497D"/>
                            <w:sz w:val="102"/>
                          </w:rPr>
                          <w:t>Old</w:t>
                        </w:r>
                        <w:r>
                          <w:rPr>
                            <w:b/>
                            <w:color w:val="1F497D"/>
                            <w:spacing w:val="-1"/>
                            <w:sz w:val="102"/>
                          </w:rPr>
                          <w:t> </w:t>
                        </w:r>
                        <w:r>
                          <w:rPr>
                            <w:b/>
                            <w:color w:val="1F497D"/>
                            <w:spacing w:val="-4"/>
                            <w:sz w:val="102"/>
                          </w:rPr>
                          <w:t>Rats</w:t>
                        </w:r>
                      </w:p>
                      <w:p>
                        <w:pPr>
                          <w:spacing w:line="280" w:lineRule="auto" w:before="84"/>
                          <w:ind w:left="4492" w:right="4041" w:firstLine="0"/>
                          <w:jc w:val="center"/>
                          <w:rPr>
                            <w:b/>
                            <w:sz w:val="43"/>
                          </w:rPr>
                        </w:pPr>
                        <w:r>
                          <w:rPr>
                            <w:b/>
                            <w:sz w:val="43"/>
                          </w:rPr>
                          <w:t>Ji Min Lee, Tahmarah Otoo, Amanda Jaimes, Arlene Martinez, Patrick Alcantara, Barbara J Cherry, and Jennifer Trevitt </w:t>
                        </w:r>
                        <w:r>
                          <w:rPr>
                            <w:b/>
                            <w:color w:val="1F497D"/>
                            <w:sz w:val="43"/>
                          </w:rPr>
                          <w:t>Department of Psychology, California State University, Fullerton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24531</wp:posOffset>
                </wp:positionH>
                <wp:positionV relativeFrom="paragraph">
                  <wp:posOffset>-630292</wp:posOffset>
                </wp:positionV>
                <wp:extent cx="20074890" cy="18224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0074890" cy="182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74890" h="182245">
                              <a:moveTo>
                                <a:pt x="20074781" y="0"/>
                              </a:moveTo>
                              <a:lnTo>
                                <a:pt x="0" y="0"/>
                              </a:lnTo>
                              <a:lnTo>
                                <a:pt x="0" y="181894"/>
                              </a:lnTo>
                              <a:lnTo>
                                <a:pt x="20074781" y="181894"/>
                              </a:lnTo>
                              <a:lnTo>
                                <a:pt x="200747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97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.931637pt;margin-top:-49.62936pt;width:1580.691428pt;height:14.322381pt;mso-position-horizontal-relative:page;mso-position-vertical-relative:paragraph;z-index:15730176" id="docshape9" filled="true" fillcolor="#1f497d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39"/>
          <w:u w:val="single"/>
        </w:rPr>
        <w:t>Discrimination</w:t>
      </w:r>
      <w:r>
        <w:rPr>
          <w:i/>
          <w:spacing w:val="-4"/>
          <w:sz w:val="39"/>
          <w:u w:val="single"/>
        </w:rPr>
        <w:t> </w:t>
      </w:r>
      <w:r>
        <w:rPr>
          <w:i/>
          <w:sz w:val="39"/>
          <w:u w:val="single"/>
        </w:rPr>
        <w:t>I</w:t>
      </w:r>
      <w:r>
        <w:rPr>
          <w:sz w:val="39"/>
          <w:u w:val="none"/>
        </w:rPr>
        <w:t>:</w:t>
      </w:r>
      <w:r>
        <w:rPr>
          <w:spacing w:val="-3"/>
          <w:sz w:val="39"/>
          <w:u w:val="none"/>
        </w:rPr>
        <w:t> </w:t>
      </w:r>
      <w:r>
        <w:rPr>
          <w:sz w:val="39"/>
          <w:u w:val="none"/>
        </w:rPr>
        <w:t>Access</w:t>
      </w:r>
      <w:r>
        <w:rPr>
          <w:spacing w:val="-3"/>
          <w:sz w:val="39"/>
          <w:u w:val="none"/>
        </w:rPr>
        <w:t> </w:t>
      </w:r>
      <w:r>
        <w:rPr>
          <w:sz w:val="39"/>
          <w:u w:val="none"/>
        </w:rPr>
        <w:t>to</w:t>
      </w:r>
      <w:r>
        <w:rPr>
          <w:spacing w:val="-4"/>
          <w:sz w:val="39"/>
          <w:u w:val="none"/>
        </w:rPr>
        <w:t> </w:t>
      </w:r>
      <w:r>
        <w:rPr>
          <w:sz w:val="39"/>
          <w:u w:val="none"/>
        </w:rPr>
        <w:t>both</w:t>
      </w:r>
      <w:r>
        <w:rPr>
          <w:spacing w:val="-3"/>
          <w:sz w:val="39"/>
          <w:u w:val="none"/>
        </w:rPr>
        <w:t> </w:t>
      </w:r>
      <w:r>
        <w:rPr>
          <w:spacing w:val="-4"/>
          <w:sz w:val="39"/>
          <w:u w:val="none"/>
        </w:rPr>
        <w:t>arms</w:t>
      </w:r>
    </w:p>
    <w:p>
      <w:pPr>
        <w:pStyle w:val="ListParagraph"/>
        <w:numPr>
          <w:ilvl w:val="1"/>
          <w:numId w:val="2"/>
        </w:numPr>
        <w:tabs>
          <w:tab w:pos="1770" w:val="left" w:leader="none"/>
        </w:tabs>
        <w:spacing w:line="237" w:lineRule="auto" w:before="1" w:after="0"/>
        <w:ind w:left="1770" w:right="366" w:hanging="315"/>
        <w:jc w:val="both"/>
        <w:rPr>
          <w:sz w:val="39"/>
        </w:rPr>
      </w:pPr>
      <w:r>
        <w:rPr>
          <w:sz w:val="39"/>
        </w:rPr>
        <w:t>Removed after consuming the reward or reaching the end of the non-baited arm (10 trials per day until &gt;90% </w:t>
      </w:r>
      <w:r>
        <w:rPr>
          <w:spacing w:val="-2"/>
          <w:sz w:val="39"/>
        </w:rPr>
        <w:t>correct)</w:t>
      </w:r>
    </w:p>
    <w:p>
      <w:pPr>
        <w:pStyle w:val="ListParagraph"/>
        <w:numPr>
          <w:ilvl w:val="0"/>
          <w:numId w:val="2"/>
        </w:numPr>
        <w:tabs>
          <w:tab w:pos="815" w:val="left" w:leader="none"/>
          <w:tab w:pos="916" w:val="left" w:leader="none"/>
        </w:tabs>
        <w:spacing w:line="237" w:lineRule="auto" w:before="0" w:after="0"/>
        <w:ind w:left="815" w:right="368" w:hanging="212"/>
        <w:jc w:val="both"/>
        <w:rPr>
          <w:sz w:val="39"/>
        </w:rPr>
      </w:pPr>
      <w:r>
        <w:rPr>
          <w:sz w:val="39"/>
          <w:u w:val="single"/>
        </w:rPr>
        <w:tab/>
      </w:r>
      <w:r>
        <w:rPr>
          <w:i/>
          <w:sz w:val="39"/>
          <w:u w:val="single"/>
        </w:rPr>
        <w:t>Discrimination II</w:t>
      </w:r>
      <w:r>
        <w:rPr>
          <w:sz w:val="39"/>
          <w:u w:val="none"/>
        </w:rPr>
        <w:t>: Discrimination after baited and unbaited arms switched</w:t>
      </w:r>
    </w:p>
    <w:p>
      <w:pPr>
        <w:pStyle w:val="Heading1"/>
        <w:spacing w:line="617" w:lineRule="exact"/>
        <w:ind w:right="37"/>
      </w:pPr>
      <w:r>
        <w:rPr/>
        <w:drawing>
          <wp:anchor distT="0" distB="0" distL="0" distR="0" allowOverlap="1" layoutInCell="1" locked="0" behindDoc="1" simplePos="0" relativeHeight="487523840">
            <wp:simplePos x="0" y="0"/>
            <wp:positionH relativeFrom="page">
              <wp:posOffset>10229157</wp:posOffset>
            </wp:positionH>
            <wp:positionV relativeFrom="paragraph">
              <wp:posOffset>341406</wp:posOffset>
            </wp:positionV>
            <wp:extent cx="5043974" cy="5099021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3974" cy="5099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497D"/>
          <w:spacing w:val="-2"/>
        </w:rPr>
        <w:t>Results</w:t>
      </w:r>
    </w:p>
    <w:p>
      <w:pPr>
        <w:pStyle w:val="BodyText"/>
        <w:rPr>
          <w:b/>
          <w:sz w:val="56"/>
        </w:rPr>
      </w:pPr>
    </w:p>
    <w:p>
      <w:pPr>
        <w:pStyle w:val="BodyText"/>
        <w:rPr>
          <w:b/>
          <w:sz w:val="56"/>
        </w:rPr>
      </w:pPr>
    </w:p>
    <w:p>
      <w:pPr>
        <w:pStyle w:val="BodyText"/>
        <w:rPr>
          <w:b/>
          <w:sz w:val="56"/>
        </w:rPr>
      </w:pPr>
    </w:p>
    <w:p>
      <w:pPr>
        <w:pStyle w:val="BodyText"/>
        <w:rPr>
          <w:b/>
          <w:sz w:val="56"/>
        </w:rPr>
      </w:pPr>
    </w:p>
    <w:p>
      <w:pPr>
        <w:pStyle w:val="BodyText"/>
        <w:rPr>
          <w:b/>
          <w:sz w:val="56"/>
        </w:rPr>
      </w:pPr>
    </w:p>
    <w:p>
      <w:pPr>
        <w:pStyle w:val="BodyText"/>
        <w:rPr>
          <w:b/>
          <w:sz w:val="56"/>
        </w:rPr>
      </w:pPr>
    </w:p>
    <w:p>
      <w:pPr>
        <w:pStyle w:val="BodyText"/>
        <w:rPr>
          <w:b/>
          <w:sz w:val="56"/>
        </w:rPr>
      </w:pPr>
    </w:p>
    <w:p>
      <w:pPr>
        <w:pStyle w:val="BodyText"/>
        <w:rPr>
          <w:b/>
          <w:sz w:val="56"/>
        </w:rPr>
      </w:pPr>
    </w:p>
    <w:p>
      <w:pPr>
        <w:pStyle w:val="BodyText"/>
        <w:rPr>
          <w:b/>
          <w:sz w:val="56"/>
        </w:rPr>
      </w:pPr>
    </w:p>
    <w:p>
      <w:pPr>
        <w:pStyle w:val="BodyText"/>
        <w:rPr>
          <w:b/>
          <w:sz w:val="56"/>
        </w:rPr>
      </w:pPr>
    </w:p>
    <w:p>
      <w:pPr>
        <w:pStyle w:val="BodyText"/>
        <w:spacing w:before="382"/>
        <w:rPr>
          <w:b/>
          <w:sz w:val="56"/>
        </w:rPr>
      </w:pPr>
    </w:p>
    <w:p>
      <w:pPr>
        <w:pStyle w:val="ListParagraph"/>
        <w:numPr>
          <w:ilvl w:val="0"/>
          <w:numId w:val="2"/>
        </w:numPr>
        <w:tabs>
          <w:tab w:pos="767" w:val="left" w:leader="none"/>
          <w:tab w:pos="868" w:val="left" w:leader="none"/>
        </w:tabs>
        <w:spacing w:line="237" w:lineRule="auto" w:before="0" w:after="0"/>
        <w:ind w:left="767" w:right="414" w:hanging="212"/>
        <w:jc w:val="both"/>
        <w:rPr>
          <w:sz w:val="39"/>
        </w:rPr>
      </w:pPr>
      <w:r>
        <w:rPr>
          <w:sz w:val="39"/>
        </w:rPr>
        <w:tab/>
        <w:t>Rats on nutritionally balanced standard</w:t>
      </w:r>
      <w:r>
        <w:rPr>
          <w:spacing w:val="40"/>
          <w:sz w:val="39"/>
        </w:rPr>
        <w:t> </w:t>
      </w:r>
      <w:r>
        <w:rPr>
          <w:sz w:val="39"/>
        </w:rPr>
        <w:t>diet (M=2.625) learned significantly faster than the rats on the high-sucrose (M=5.50) and high-fat diet (M=6.056)</w:t>
      </w:r>
    </w:p>
    <w:p>
      <w:pPr>
        <w:pStyle w:val="ListParagraph"/>
        <w:numPr>
          <w:ilvl w:val="0"/>
          <w:numId w:val="2"/>
        </w:numPr>
        <w:tabs>
          <w:tab w:pos="768" w:val="left" w:leader="none"/>
          <w:tab w:pos="869" w:val="left" w:leader="none"/>
        </w:tabs>
        <w:spacing w:line="237" w:lineRule="auto" w:before="0" w:after="0"/>
        <w:ind w:left="768" w:right="414" w:hanging="212"/>
        <w:jc w:val="both"/>
        <w:rPr>
          <w:sz w:val="39"/>
        </w:rPr>
      </w:pPr>
      <w:r>
        <w:rPr>
          <w:sz w:val="39"/>
        </w:rPr>
        <w:tab/>
        <w:t>No significant difference in learning</w:t>
      </w:r>
      <w:r>
        <w:rPr>
          <w:spacing w:val="40"/>
          <w:sz w:val="39"/>
        </w:rPr>
        <w:t> </w:t>
      </w:r>
      <w:r>
        <w:rPr>
          <w:sz w:val="39"/>
        </w:rPr>
        <w:t>abilities between specialized diets or types of learning</w:t>
      </w:r>
    </w:p>
    <w:p>
      <w:pPr>
        <w:pStyle w:val="Heading1"/>
        <w:spacing w:line="681" w:lineRule="exact" w:before="67"/>
        <w:ind w:right="96"/>
      </w:pPr>
      <w:r>
        <w:rPr>
          <w:b w:val="0"/>
        </w:rPr>
        <w:br w:type="column"/>
      </w:r>
      <w:r>
        <w:rPr>
          <w:color w:val="1F497D"/>
          <w:spacing w:val="-2"/>
        </w:rPr>
        <w:t>Conclusion</w:t>
      </w:r>
    </w:p>
    <w:p>
      <w:pPr>
        <w:pStyle w:val="ListParagraph"/>
        <w:numPr>
          <w:ilvl w:val="0"/>
          <w:numId w:val="3"/>
        </w:numPr>
        <w:tabs>
          <w:tab w:pos="304" w:val="left" w:leader="none"/>
          <w:tab w:pos="372" w:val="left" w:leader="none"/>
        </w:tabs>
        <w:spacing w:line="237" w:lineRule="auto" w:before="1" w:after="0"/>
        <w:ind w:left="304" w:right="185" w:hanging="213"/>
        <w:jc w:val="both"/>
        <w:rPr>
          <w:b/>
          <w:sz w:val="39"/>
        </w:rPr>
      </w:pPr>
      <w:r>
        <w:rPr>
          <w:sz w:val="39"/>
        </w:rPr>
        <w:tab/>
        <w:t>Hypothesis that the rats on nutritionally balanced diet would show a greater</w:t>
      </w:r>
      <w:r>
        <w:rPr>
          <w:spacing w:val="80"/>
          <w:sz w:val="39"/>
        </w:rPr>
        <w:t> </w:t>
      </w:r>
      <w:r>
        <w:rPr>
          <w:sz w:val="39"/>
        </w:rPr>
        <w:t>learning capacity than experimental groups </w:t>
      </w:r>
      <w:r>
        <w:rPr>
          <w:b/>
          <w:spacing w:val="-2"/>
          <w:sz w:val="39"/>
        </w:rPr>
        <w:t>supported</w:t>
      </w:r>
    </w:p>
    <w:p>
      <w:pPr>
        <w:pStyle w:val="ListParagraph"/>
        <w:numPr>
          <w:ilvl w:val="0"/>
          <w:numId w:val="3"/>
        </w:numPr>
        <w:tabs>
          <w:tab w:pos="303" w:val="left" w:leader="none"/>
          <w:tab w:pos="372" w:val="left" w:leader="none"/>
        </w:tabs>
        <w:spacing w:line="237" w:lineRule="auto" w:before="0" w:after="0"/>
        <w:ind w:left="303" w:right="188" w:hanging="212"/>
        <w:jc w:val="both"/>
        <w:rPr>
          <w:b/>
          <w:sz w:val="39"/>
        </w:rPr>
      </w:pPr>
      <w:r>
        <w:rPr>
          <w:sz w:val="39"/>
        </w:rPr>
        <w:tab/>
        <w:t>Hypothesis that there would be a</w:t>
      </w:r>
      <w:r>
        <w:rPr>
          <w:spacing w:val="80"/>
          <w:sz w:val="39"/>
        </w:rPr>
        <w:t> </w:t>
      </w:r>
      <w:r>
        <w:rPr>
          <w:sz w:val="39"/>
        </w:rPr>
        <w:t>difference in learning abilities between</w:t>
      </w:r>
      <w:r>
        <w:rPr>
          <w:spacing w:val="80"/>
          <w:sz w:val="39"/>
        </w:rPr>
        <w:t> </w:t>
      </w:r>
      <w:r>
        <w:rPr>
          <w:sz w:val="39"/>
        </w:rPr>
        <w:t>high-sucrose and high-fat diets </w:t>
      </w:r>
      <w:r>
        <w:rPr>
          <w:b/>
          <w:sz w:val="39"/>
        </w:rPr>
        <w:t>not </w:t>
      </w:r>
      <w:r>
        <w:rPr>
          <w:b/>
          <w:spacing w:val="-2"/>
          <w:sz w:val="39"/>
        </w:rPr>
        <w:t>supported</w:t>
      </w:r>
    </w:p>
    <w:p>
      <w:pPr>
        <w:pStyle w:val="ListParagraph"/>
        <w:numPr>
          <w:ilvl w:val="0"/>
          <w:numId w:val="3"/>
        </w:numPr>
        <w:tabs>
          <w:tab w:pos="304" w:val="left" w:leader="none"/>
          <w:tab w:pos="373" w:val="left" w:leader="none"/>
        </w:tabs>
        <w:spacing w:line="237" w:lineRule="auto" w:before="0" w:after="0"/>
        <w:ind w:left="304" w:right="186" w:hanging="212"/>
        <w:jc w:val="both"/>
        <w:rPr>
          <w:sz w:val="39"/>
        </w:rPr>
      </w:pPr>
      <w:r>
        <w:rPr>
          <w:sz w:val="39"/>
        </w:rPr>
        <w:tab/>
        <w:t>Neural rewiring, cell atrophy, or network alteration due to different diets possible (Attuquayefio et al., 2016)</w:t>
      </w:r>
    </w:p>
    <w:p>
      <w:pPr>
        <w:pStyle w:val="ListParagraph"/>
        <w:numPr>
          <w:ilvl w:val="0"/>
          <w:numId w:val="3"/>
        </w:numPr>
        <w:tabs>
          <w:tab w:pos="304" w:val="left" w:leader="none"/>
          <w:tab w:pos="372" w:val="left" w:leader="none"/>
        </w:tabs>
        <w:spacing w:line="237" w:lineRule="auto" w:before="0" w:after="0"/>
        <w:ind w:left="304" w:right="186" w:hanging="213"/>
        <w:jc w:val="both"/>
        <w:rPr>
          <w:sz w:val="39"/>
        </w:rPr>
      </w:pPr>
      <w:r>
        <w:rPr>
          <w:sz w:val="39"/>
        </w:rPr>
        <w:tab/>
        <w:t>High-fat diets could lead to atherosclerosis (Beilharz, Maniam, &amp; Morris, 2014).</w:t>
      </w:r>
    </w:p>
    <w:p>
      <w:pPr>
        <w:pStyle w:val="ListParagraph"/>
        <w:numPr>
          <w:ilvl w:val="0"/>
          <w:numId w:val="3"/>
        </w:numPr>
        <w:tabs>
          <w:tab w:pos="304" w:val="left" w:leader="none"/>
          <w:tab w:pos="373" w:val="left" w:leader="none"/>
        </w:tabs>
        <w:spacing w:line="237" w:lineRule="auto" w:before="0" w:after="0"/>
        <w:ind w:left="304" w:right="187" w:hanging="212"/>
        <w:jc w:val="both"/>
        <w:rPr>
          <w:sz w:val="39"/>
        </w:rPr>
      </w:pPr>
      <w:r>
        <w:rPr>
          <w:sz w:val="39"/>
        </w:rPr>
        <w:tab/>
        <w:t>Recommend larger sample size and better external factors control in the future</w:t>
      </w:r>
    </w:p>
    <w:p>
      <w:pPr>
        <w:pStyle w:val="Heading1"/>
        <w:spacing w:line="677" w:lineRule="exact"/>
        <w:ind w:right="96"/>
      </w:pPr>
      <w:r>
        <w:rPr>
          <w:color w:val="1F497D"/>
          <w:spacing w:val="-2"/>
        </w:rPr>
        <w:t>References</w:t>
      </w:r>
    </w:p>
    <w:p>
      <w:pPr>
        <w:spacing w:line="235" w:lineRule="auto" w:before="0"/>
        <w:ind w:left="91" w:right="187" w:firstLine="0"/>
        <w:jc w:val="both"/>
        <w:rPr>
          <w:sz w:val="22"/>
        </w:rPr>
      </w:pPr>
      <w:r>
        <w:rPr>
          <w:sz w:val="22"/>
        </w:rPr>
        <w:t>Attuquayefio, T., Stevenson, R., Boakes, R., Oaten, M., Yeomans, M., Mahmut,</w:t>
      </w:r>
      <w:r>
        <w:rPr>
          <w:spacing w:val="40"/>
          <w:sz w:val="22"/>
        </w:rPr>
        <w:t> </w:t>
      </w:r>
      <w:r>
        <w:rPr>
          <w:sz w:val="22"/>
        </w:rPr>
        <w:t>M., &amp; Francis, H. (2016). A high-fat high-sugar diet predicts poorer hippocampal- related memory and a reduced ability to suppress wanting under satiety. </w:t>
      </w:r>
      <w:r>
        <w:rPr>
          <w:i/>
          <w:sz w:val="22"/>
        </w:rPr>
        <w:t>Journal</w:t>
      </w:r>
      <w:r>
        <w:rPr>
          <w:i/>
          <w:sz w:val="22"/>
        </w:rPr>
        <w:t> Of Experimental Psychology: Animal Learning And Cognition</w:t>
      </w:r>
      <w:r>
        <w:rPr>
          <w:sz w:val="22"/>
        </w:rPr>
        <w:t>, </w:t>
      </w:r>
      <w:r>
        <w:rPr>
          <w:i/>
          <w:sz w:val="22"/>
        </w:rPr>
        <w:t>42</w:t>
      </w:r>
      <w:r>
        <w:rPr>
          <w:sz w:val="22"/>
        </w:rPr>
        <w:t>(4), 415-428. </w:t>
      </w:r>
      <w:hyperlink r:id="rId9">
        <w:r>
          <w:rPr>
            <w:spacing w:val="-2"/>
            <w:sz w:val="22"/>
          </w:rPr>
          <w:t>http://dx.doi.org/10.1037/xan0000118</w:t>
        </w:r>
      </w:hyperlink>
    </w:p>
    <w:p>
      <w:pPr>
        <w:spacing w:line="267" w:lineRule="exact" w:before="262"/>
        <w:ind w:left="91" w:right="0" w:firstLine="0"/>
        <w:jc w:val="left"/>
        <w:rPr>
          <w:sz w:val="22"/>
        </w:rPr>
      </w:pPr>
      <w:r>
        <w:rPr>
          <w:sz w:val="22"/>
        </w:rPr>
        <w:t>Bardgett,</w:t>
      </w:r>
      <w:r>
        <w:rPr>
          <w:spacing w:val="63"/>
          <w:sz w:val="22"/>
        </w:rPr>
        <w:t> </w:t>
      </w:r>
      <w:r>
        <w:rPr>
          <w:sz w:val="22"/>
        </w:rPr>
        <w:t>M.,</w:t>
      </w:r>
      <w:r>
        <w:rPr>
          <w:spacing w:val="65"/>
          <w:sz w:val="22"/>
        </w:rPr>
        <w:t> </w:t>
      </w:r>
      <w:r>
        <w:rPr>
          <w:sz w:val="22"/>
        </w:rPr>
        <w:t>Depenbrock,</w:t>
      </w:r>
      <w:r>
        <w:rPr>
          <w:spacing w:val="65"/>
          <w:sz w:val="22"/>
        </w:rPr>
        <w:t> </w:t>
      </w:r>
      <w:r>
        <w:rPr>
          <w:sz w:val="22"/>
        </w:rPr>
        <w:t>M.,</w:t>
      </w:r>
      <w:r>
        <w:rPr>
          <w:spacing w:val="65"/>
          <w:sz w:val="22"/>
        </w:rPr>
        <w:t> </w:t>
      </w:r>
      <w:r>
        <w:rPr>
          <w:sz w:val="22"/>
        </w:rPr>
        <w:t>Downs,</w:t>
      </w:r>
      <w:r>
        <w:rPr>
          <w:spacing w:val="67"/>
          <w:sz w:val="22"/>
        </w:rPr>
        <w:t> </w:t>
      </w:r>
      <w:r>
        <w:rPr>
          <w:sz w:val="22"/>
        </w:rPr>
        <w:t>N.,</w:t>
      </w:r>
      <w:r>
        <w:rPr>
          <w:spacing w:val="65"/>
          <w:sz w:val="22"/>
        </w:rPr>
        <w:t> </w:t>
      </w:r>
      <w:r>
        <w:rPr>
          <w:sz w:val="22"/>
        </w:rPr>
        <w:t>Points,</w:t>
      </w:r>
      <w:r>
        <w:rPr>
          <w:spacing w:val="66"/>
          <w:sz w:val="22"/>
        </w:rPr>
        <w:t> </w:t>
      </w:r>
      <w:r>
        <w:rPr>
          <w:sz w:val="22"/>
        </w:rPr>
        <w:t>M.,</w:t>
      </w:r>
      <w:r>
        <w:rPr>
          <w:spacing w:val="66"/>
          <w:sz w:val="22"/>
        </w:rPr>
        <w:t> </w:t>
      </w:r>
      <w:r>
        <w:rPr>
          <w:sz w:val="22"/>
        </w:rPr>
        <w:t>&amp;</w:t>
      </w:r>
      <w:r>
        <w:rPr>
          <w:spacing w:val="66"/>
          <w:sz w:val="22"/>
        </w:rPr>
        <w:t> </w:t>
      </w:r>
      <w:r>
        <w:rPr>
          <w:sz w:val="22"/>
        </w:rPr>
        <w:t>Green,</w:t>
      </w:r>
      <w:r>
        <w:rPr>
          <w:spacing w:val="67"/>
          <w:sz w:val="22"/>
        </w:rPr>
        <w:t> </w:t>
      </w:r>
      <w:r>
        <w:rPr>
          <w:sz w:val="22"/>
        </w:rPr>
        <w:t>L.</w:t>
      </w:r>
      <w:r>
        <w:rPr>
          <w:spacing w:val="67"/>
          <w:sz w:val="22"/>
        </w:rPr>
        <w:t> </w:t>
      </w:r>
      <w:r>
        <w:rPr>
          <w:spacing w:val="-2"/>
          <w:sz w:val="22"/>
        </w:rPr>
        <w:t>(2009).</w:t>
      </w:r>
    </w:p>
    <w:p>
      <w:pPr>
        <w:spacing w:line="264" w:lineRule="exact" w:before="0"/>
        <w:ind w:left="91" w:right="0" w:firstLine="0"/>
        <w:jc w:val="left"/>
        <w:rPr>
          <w:sz w:val="22"/>
        </w:rPr>
      </w:pPr>
      <w:r>
        <w:rPr>
          <w:sz w:val="22"/>
        </w:rPr>
        <w:t>Dopamine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modulates</w:t>
      </w:r>
    </w:p>
    <w:p>
      <w:pPr>
        <w:spacing w:line="237" w:lineRule="auto" w:before="0"/>
        <w:ind w:left="92" w:right="0" w:firstLine="0"/>
        <w:jc w:val="left"/>
        <w:rPr>
          <w:sz w:val="22"/>
        </w:rPr>
      </w:pPr>
      <w:r>
        <w:rPr>
          <w:sz w:val="22"/>
        </w:rPr>
        <w:t>effort-based decision making in rats. </w:t>
      </w:r>
      <w:r>
        <w:rPr>
          <w:i/>
          <w:sz w:val="22"/>
        </w:rPr>
        <w:t>Behavioral Neuroscience</w:t>
      </w:r>
      <w:r>
        <w:rPr>
          <w:sz w:val="22"/>
        </w:rPr>
        <w:t>, </w:t>
      </w:r>
      <w:r>
        <w:rPr>
          <w:i/>
          <w:sz w:val="22"/>
        </w:rPr>
        <w:t>123</w:t>
      </w:r>
      <w:r>
        <w:rPr>
          <w:sz w:val="22"/>
        </w:rPr>
        <w:t>(2), 242-251. </w:t>
      </w:r>
      <w:hyperlink r:id="rId10">
        <w:r>
          <w:rPr>
            <w:spacing w:val="-2"/>
            <w:sz w:val="22"/>
          </w:rPr>
          <w:t>http://dx.doi.org/10.1037/a0014625</w:t>
        </w:r>
      </w:hyperlink>
    </w:p>
    <w:p>
      <w:pPr>
        <w:spacing w:line="237" w:lineRule="auto" w:before="258"/>
        <w:ind w:left="92" w:right="185" w:hanging="1"/>
        <w:jc w:val="left"/>
        <w:rPr>
          <w:sz w:val="22"/>
        </w:rPr>
      </w:pPr>
      <w:r>
        <w:rPr>
          <w:sz w:val="22"/>
        </w:rPr>
        <w:t>Beilharz, J., Maniam, J., &amp; Morris, M. (2014). Short exposure to a diet rich in both fat and sugar</w:t>
      </w:r>
    </w:p>
    <w:p>
      <w:pPr>
        <w:tabs>
          <w:tab w:pos="1963" w:val="left" w:leader="none"/>
          <w:tab w:pos="3344" w:val="left" w:leader="none"/>
          <w:tab w:pos="5276" w:val="left" w:leader="none"/>
          <w:tab w:pos="6583" w:val="left" w:leader="none"/>
        </w:tabs>
        <w:spacing w:line="235" w:lineRule="auto" w:before="0"/>
        <w:ind w:left="92" w:right="185" w:firstLine="0"/>
        <w:jc w:val="left"/>
        <w:rPr>
          <w:sz w:val="22"/>
        </w:rPr>
      </w:pPr>
      <w:r>
        <w:rPr>
          <w:sz w:val="22"/>
        </w:rPr>
        <w:t>or sugar alone impairs place, but not object recognition memory in rats. </w:t>
      </w:r>
      <w:r>
        <w:rPr>
          <w:i/>
          <w:sz w:val="22"/>
        </w:rPr>
        <w:t>Brain,</w:t>
      </w:r>
      <w:r>
        <w:rPr>
          <w:i/>
          <w:spacing w:val="80"/>
          <w:sz w:val="22"/>
        </w:rPr>
        <w:t> </w:t>
      </w:r>
      <w:r>
        <w:rPr>
          <w:i/>
          <w:spacing w:val="-2"/>
          <w:sz w:val="22"/>
        </w:rPr>
        <w:t>Behavior,</w:t>
      </w:r>
      <w:r>
        <w:rPr>
          <w:i/>
          <w:sz w:val="22"/>
        </w:rPr>
        <w:tab/>
      </w:r>
      <w:r>
        <w:rPr>
          <w:i/>
          <w:spacing w:val="-5"/>
          <w:sz w:val="22"/>
        </w:rPr>
        <w:t>And</w:t>
      </w:r>
      <w:r>
        <w:rPr>
          <w:i/>
          <w:sz w:val="22"/>
        </w:rPr>
        <w:tab/>
      </w:r>
      <w:r>
        <w:rPr>
          <w:i/>
          <w:spacing w:val="-2"/>
          <w:sz w:val="22"/>
        </w:rPr>
        <w:t>Immunity</w:t>
      </w:r>
      <w:r>
        <w:rPr>
          <w:spacing w:val="-2"/>
          <w:sz w:val="22"/>
        </w:rPr>
        <w:t>,</w:t>
      </w:r>
      <w:r>
        <w:rPr>
          <w:sz w:val="22"/>
        </w:rPr>
        <w:tab/>
      </w:r>
      <w:r>
        <w:rPr>
          <w:i/>
          <w:spacing w:val="-5"/>
          <w:sz w:val="22"/>
        </w:rPr>
        <w:t>37</w:t>
      </w:r>
      <w:r>
        <w:rPr>
          <w:spacing w:val="-5"/>
          <w:sz w:val="22"/>
        </w:rPr>
        <w:t>,</w:t>
      </w:r>
      <w:r>
        <w:rPr>
          <w:sz w:val="22"/>
        </w:rPr>
        <w:tab/>
      </w:r>
      <w:r>
        <w:rPr>
          <w:spacing w:val="-2"/>
          <w:sz w:val="22"/>
        </w:rPr>
        <w:t>134-</w:t>
      </w:r>
      <w:r>
        <w:rPr>
          <w:spacing w:val="-4"/>
          <w:sz w:val="22"/>
        </w:rPr>
        <w:t>141.</w:t>
      </w:r>
    </w:p>
    <w:p>
      <w:pPr>
        <w:spacing w:line="268" w:lineRule="exact" w:before="0"/>
        <w:ind w:left="92" w:right="0" w:firstLine="0"/>
        <w:jc w:val="left"/>
        <w:rPr>
          <w:sz w:val="22"/>
        </w:rPr>
      </w:pPr>
      <w:hyperlink r:id="rId11">
        <w:r>
          <w:rPr>
            <w:spacing w:val="-2"/>
            <w:sz w:val="22"/>
          </w:rPr>
          <w:t>http://dx.doi.org/10.1016/j.bbi.2013.11.016</w:t>
        </w:r>
      </w:hyperlink>
    </w:p>
    <w:p>
      <w:pPr>
        <w:spacing w:line="237" w:lineRule="auto" w:before="258"/>
        <w:ind w:left="93" w:right="187" w:firstLine="0"/>
        <w:jc w:val="both"/>
        <w:rPr>
          <w:sz w:val="22"/>
        </w:rPr>
      </w:pPr>
      <w:r>
        <w:rPr>
          <w:sz w:val="22"/>
        </w:rPr>
        <w:t>Salamone, J., Cousins, M., &amp; Bucher, S. (1994). Anhedonia or anergia? Effects of </w:t>
      </w:r>
      <w:r>
        <w:rPr>
          <w:spacing w:val="-2"/>
          <w:sz w:val="22"/>
        </w:rPr>
        <w:t>haloperidol</w:t>
      </w:r>
    </w:p>
    <w:p>
      <w:pPr>
        <w:spacing w:line="237" w:lineRule="auto" w:before="0"/>
        <w:ind w:left="93" w:right="187" w:firstLine="0"/>
        <w:jc w:val="both"/>
        <w:rPr>
          <w:sz w:val="22"/>
        </w:rPr>
      </w:pPr>
      <w:r>
        <w:rPr>
          <w:sz w:val="22"/>
        </w:rPr>
        <w:t>and nucleus accumbens dopamine depletion on instrumental response selection in a T-maze cost/benefit procedure. </w:t>
      </w:r>
      <w:r>
        <w:rPr>
          <w:i/>
          <w:sz w:val="22"/>
        </w:rPr>
        <w:t>Behavioural Brain Research</w:t>
      </w:r>
      <w:r>
        <w:rPr>
          <w:sz w:val="22"/>
        </w:rPr>
        <w:t>, </w:t>
      </w:r>
      <w:r>
        <w:rPr>
          <w:i/>
          <w:sz w:val="22"/>
        </w:rPr>
        <w:t>65</w:t>
      </w:r>
      <w:r>
        <w:rPr>
          <w:sz w:val="22"/>
        </w:rPr>
        <w:t>(2), 221-229. </w:t>
      </w:r>
      <w:hyperlink r:id="rId12">
        <w:r>
          <w:rPr>
            <w:spacing w:val="-2"/>
            <w:sz w:val="22"/>
          </w:rPr>
          <w:t>http://dx.doi.org/10.1016/0166-4328(94)90108-2</w:t>
        </w:r>
      </w:hyperlink>
    </w:p>
    <w:p>
      <w:pPr>
        <w:spacing w:line="237" w:lineRule="auto" w:before="253"/>
        <w:ind w:left="93" w:right="0" w:firstLine="0"/>
        <w:jc w:val="left"/>
        <w:rPr>
          <w:sz w:val="22"/>
        </w:rPr>
      </w:pPr>
      <w:r>
        <w:rPr>
          <w:sz w:val="22"/>
        </w:rPr>
        <w:t>Ye, X., Gao, X., Scott, T., &amp; Tucker, K. (2011). Habitual sugar intake and cognitive </w:t>
      </w:r>
      <w:r>
        <w:rPr>
          <w:spacing w:val="-2"/>
          <w:sz w:val="22"/>
        </w:rPr>
        <w:t>function</w:t>
      </w:r>
    </w:p>
    <w:p>
      <w:pPr>
        <w:spacing w:line="237" w:lineRule="auto" w:before="0"/>
        <w:ind w:left="93" w:right="188" w:firstLine="0"/>
        <w:jc w:val="left"/>
        <w:rPr>
          <w:sz w:val="22"/>
        </w:rPr>
      </w:pPr>
      <w:r>
        <w:rPr>
          <w:sz w:val="22"/>
        </w:rPr>
        <w:t>among middle-aged and older Puerto Ricans without diabetes. </w:t>
      </w:r>
      <w:r>
        <w:rPr>
          <w:i/>
          <w:sz w:val="22"/>
        </w:rPr>
        <w:t>British Journal Of</w:t>
      </w:r>
      <w:r>
        <w:rPr>
          <w:i/>
          <w:sz w:val="22"/>
        </w:rPr>
        <w:t> Nutrition</w:t>
      </w:r>
      <w:r>
        <w:rPr>
          <w:sz w:val="22"/>
        </w:rPr>
        <w:t>, </w:t>
      </w:r>
      <w:r>
        <w:rPr>
          <w:i/>
          <w:sz w:val="22"/>
        </w:rPr>
        <w:t>106</w:t>
      </w:r>
      <w:r>
        <w:rPr>
          <w:sz w:val="22"/>
        </w:rPr>
        <w:t>(09), 1423-1432. </w:t>
      </w:r>
      <w:hyperlink r:id="rId13">
        <w:r>
          <w:rPr>
            <w:sz w:val="22"/>
          </w:rPr>
          <w:t>http://dx.doi.org/10.1017/s0007114511001760</w:t>
        </w:r>
      </w:hyperlink>
    </w:p>
    <w:sectPr>
      <w:type w:val="continuous"/>
      <w:pgSz w:w="31660" w:h="20360" w:orient="landscape"/>
      <w:pgMar w:top="0" w:bottom="0" w:left="0" w:right="0"/>
      <w:cols w:num="4" w:equalWidth="0">
        <w:col w:w="7595" w:space="330"/>
        <w:col w:w="7684" w:space="233"/>
        <w:col w:w="8211" w:space="39"/>
        <w:col w:w="756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304" w:hanging="28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9"/>
        <w:szCs w:val="3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6" w:hanging="28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3" w:hanging="28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80" w:hanging="28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07" w:hanging="28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33" w:hanging="28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60" w:hanging="28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87" w:hanging="28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14" w:hanging="28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815" w:hanging="314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9"/>
        <w:szCs w:val="3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70" w:hanging="31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9"/>
        <w:szCs w:val="3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94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09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23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38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52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67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81" w:hanging="31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79" w:hanging="28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9"/>
        <w:szCs w:val="3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86" w:hanging="38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9"/>
        <w:szCs w:val="3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71" w:hanging="31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9"/>
        <w:szCs w:val="39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41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02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63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5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7" w:hanging="315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39"/>
      <w:szCs w:val="39"/>
      <w:lang w:val="en-US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Calibri" w:hAnsi="Calibri" w:eastAsia="Calibri" w:cs="Calibri"/>
      <w:b/>
      <w:bCs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79" w:hanging="212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://dx.doi.org/10.1037/xan0000118" TargetMode="External"/><Relationship Id="rId10" Type="http://schemas.openxmlformats.org/officeDocument/2006/relationships/hyperlink" Target="http://dx.doi.org/10.1037/a0014625" TargetMode="External"/><Relationship Id="rId11" Type="http://schemas.openxmlformats.org/officeDocument/2006/relationships/hyperlink" Target="http://dx.doi.org/10.1016/j.bbi.2013.11.016" TargetMode="External"/><Relationship Id="rId12" Type="http://schemas.openxmlformats.org/officeDocument/2006/relationships/hyperlink" Target="http://dx.doi.org/10.1016/0166-4328(94)90108-2" TargetMode="External"/><Relationship Id="rId13" Type="http://schemas.openxmlformats.org/officeDocument/2006/relationships/hyperlink" Target="http://dx.doi.org/10.1017/s0007114511001760" TargetMode="External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Gerontology</dc:creator>
  <dc:title>PowerPoint Presentation</dc:title>
  <dcterms:created xsi:type="dcterms:W3CDTF">2026-09-28T21:48:43Z</dcterms:created>
  <dcterms:modified xsi:type="dcterms:W3CDTF">2026-09-28T21:48:43Z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2018-04-09T00:00:00Z</vt:filetime>
  </property>
  <property fmtid="{D5CDD505-2E9C-101B-9397-08002B2CF9AE}" pid="3" name="Creator">
    <vt:lpwstr>Acrobat PDFMaker 15 for PowerPoint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15.0</vt:lpwstr>
  </property>
</Properties>
</file>