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2" w:lineRule="auto"/>
      </w:pPr>
      <w:bookmarkStart w:name="Slide Number 1" w:id="1"/>
      <w:bookmarkEnd w:id="1"/>
      <w:r>
        <w:rPr/>
      </w:r>
      <w:r>
        <w:rPr>
          <w:color w:val="FFFFFF"/>
        </w:rPr>
        <w:t>Sedentary Behavior,</w:t>
      </w:r>
      <w:r>
        <w:rPr>
          <w:color w:val="FFFFFF"/>
          <w:spacing w:val="-3"/>
        </w:rPr>
        <w:t> </w:t>
      </w:r>
      <w:r>
        <w:rPr>
          <w:color w:val="FFFFFF"/>
        </w:rPr>
        <w:t>Depression,</w:t>
      </w:r>
      <w:r>
        <w:rPr>
          <w:color w:val="FFFFFF"/>
          <w:spacing w:val="-1"/>
        </w:rPr>
        <w:t> </w:t>
      </w:r>
      <w:r>
        <w:rPr>
          <w:color w:val="FFFFFF"/>
        </w:rPr>
        <w:t>and</w:t>
      </w:r>
      <w:r>
        <w:rPr>
          <w:color w:val="FFFFFF"/>
          <w:spacing w:val="-4"/>
        </w:rPr>
        <w:t> </w:t>
      </w:r>
      <w:r>
        <w:rPr>
          <w:color w:val="FFFFFF"/>
        </w:rPr>
        <w:t>BMI</w:t>
      </w:r>
      <w:r>
        <w:rPr>
          <w:color w:val="FFFFFF"/>
          <w:spacing w:val="-3"/>
        </w:rPr>
        <w:t> </w:t>
      </w:r>
      <w:r>
        <w:rPr>
          <w:color w:val="FFFFFF"/>
        </w:rPr>
        <w:t>in</w:t>
      </w:r>
      <w:r>
        <w:rPr>
          <w:color w:val="FFFFFF"/>
          <w:spacing w:val="-4"/>
        </w:rPr>
        <w:t> </w:t>
      </w:r>
      <w:r>
        <w:rPr>
          <w:color w:val="FFFFFF"/>
        </w:rPr>
        <w:t>Older Adults with Chronic Pain</w:t>
      </w:r>
    </w:p>
    <w:p>
      <w:pPr>
        <w:spacing w:line="252" w:lineRule="auto" w:before="352"/>
        <w:ind w:left="5361" w:right="373" w:firstLine="540"/>
        <w:jc w:val="left"/>
        <w:rPr>
          <w:sz w:val="73"/>
        </w:rPr>
      </w:pPr>
      <w:r>
        <w:rPr>
          <w:color w:val="FFFFFF"/>
          <w:sz w:val="73"/>
        </w:rPr>
        <w:t>Jasmine R. Victor ♦ Melissa Salmeron ♦ Laura Zettel-Watson Department</w:t>
      </w:r>
      <w:r>
        <w:rPr>
          <w:color w:val="FFFFFF"/>
          <w:spacing w:val="-1"/>
          <w:sz w:val="73"/>
        </w:rPr>
        <w:t> </w:t>
      </w:r>
      <w:r>
        <w:rPr>
          <w:color w:val="FFFFFF"/>
          <w:sz w:val="73"/>
        </w:rPr>
        <w:t>of Psychology</w:t>
      </w:r>
      <w:r>
        <w:rPr>
          <w:color w:val="FFFFFF"/>
          <w:spacing w:val="-1"/>
          <w:sz w:val="73"/>
        </w:rPr>
        <w:t> </w:t>
      </w:r>
      <w:r>
        <w:rPr>
          <w:color w:val="FFFFFF"/>
          <w:sz w:val="73"/>
        </w:rPr>
        <w:t>♦</w:t>
      </w:r>
      <w:r>
        <w:rPr>
          <w:color w:val="FFFFFF"/>
          <w:spacing w:val="-1"/>
          <w:sz w:val="73"/>
        </w:rPr>
        <w:t> </w:t>
      </w:r>
      <w:r>
        <w:rPr>
          <w:color w:val="FFFFFF"/>
          <w:sz w:val="73"/>
        </w:rPr>
        <w:t>California</w:t>
      </w:r>
      <w:r>
        <w:rPr>
          <w:color w:val="FFFFFF"/>
          <w:spacing w:val="-1"/>
          <w:sz w:val="73"/>
        </w:rPr>
        <w:t> </w:t>
      </w:r>
      <w:r>
        <w:rPr>
          <w:color w:val="FFFFFF"/>
          <w:sz w:val="73"/>
        </w:rPr>
        <w:t>State University,</w:t>
      </w:r>
      <w:r>
        <w:rPr>
          <w:color w:val="FFFFFF"/>
          <w:spacing w:val="-3"/>
          <w:sz w:val="73"/>
        </w:rPr>
        <w:t> </w:t>
      </w:r>
      <w:r>
        <w:rPr>
          <w:color w:val="FFFFFF"/>
          <w:sz w:val="73"/>
        </w:rPr>
        <w:t>Fullerton</w:t>
      </w: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31660" w:h="23750" w:orient="landscape"/>
          <w:pgMar w:top="460" w:bottom="280" w:left="780" w:right="1120"/>
        </w:sectPr>
      </w:pPr>
    </w:p>
    <w:p>
      <w:pPr>
        <w:spacing w:before="84"/>
        <w:ind w:left="3056" w:right="0" w:firstLine="0"/>
        <w:jc w:val="left"/>
        <w:rPr>
          <w:sz w:val="46"/>
        </w:rPr>
      </w:pPr>
      <w:r>
        <w:rPr>
          <w:color w:val="FFFFFF"/>
          <w:spacing w:val="-2"/>
          <w:sz w:val="46"/>
        </w:rPr>
        <w:t>Background</w:t>
      </w:r>
    </w:p>
    <w:p>
      <w:pPr>
        <w:spacing w:before="199"/>
        <w:ind w:left="3056" w:right="0" w:firstLine="0"/>
        <w:jc w:val="left"/>
        <w:rPr>
          <w:sz w:val="46"/>
        </w:rPr>
      </w:pPr>
      <w:r>
        <w:rPr/>
        <w:br w:type="column"/>
      </w:r>
      <w:r>
        <w:rPr>
          <w:color w:val="FFFFFF"/>
          <w:spacing w:val="-2"/>
          <w:sz w:val="46"/>
        </w:rPr>
        <w:t>Measures</w:t>
      </w:r>
    </w:p>
    <w:p>
      <w:pPr>
        <w:spacing w:before="199"/>
        <w:ind w:left="0" w:right="693" w:firstLine="0"/>
        <w:jc w:val="center"/>
        <w:rPr>
          <w:sz w:val="46"/>
        </w:rPr>
      </w:pPr>
      <w:r>
        <w:rPr/>
        <w:br w:type="column"/>
      </w:r>
      <w:r>
        <w:rPr>
          <w:color w:val="FFFFFF"/>
          <w:spacing w:val="-2"/>
          <w:sz w:val="46"/>
        </w:rPr>
        <w:t>Results</w:t>
      </w:r>
    </w:p>
    <w:p>
      <w:pPr>
        <w:spacing w:after="0"/>
        <w:jc w:val="center"/>
        <w:rPr>
          <w:sz w:val="46"/>
        </w:rPr>
        <w:sectPr>
          <w:type w:val="continuous"/>
          <w:pgSz w:w="31660" w:h="23750" w:orient="landscape"/>
          <w:pgMar w:top="460" w:bottom="280" w:left="780" w:right="1120"/>
          <w:cols w:num="3" w:equalWidth="0">
            <w:col w:w="5542" w:space="4739"/>
            <w:col w:w="5108" w:space="6033"/>
            <w:col w:w="8338"/>
          </w:cols>
        </w:sectPr>
      </w:pPr>
    </w:p>
    <w:p>
      <w:pPr>
        <w:pStyle w:val="BodyText"/>
        <w:spacing w:before="6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20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50780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0104100" cy="15078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4100" h="15078075">
                              <a:moveTo>
                                <a:pt x="20104100" y="0"/>
                              </a:moveTo>
                              <a:lnTo>
                                <a:pt x="0" y="0"/>
                              </a:lnTo>
                              <a:lnTo>
                                <a:pt x="0" y="15078075"/>
                              </a:lnTo>
                              <a:lnTo>
                                <a:pt x="20104100" y="15078075"/>
                              </a:lnTo>
                              <a:lnTo>
                                <a:pt x="20104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B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29pt;width:1583.000038pt;height:1187.250029pt;mso-position-horizontal-relative:page;mso-position-vertical-relative:page;z-index:-15824384" id="docshape1" filled="true" fillcolor="#002b5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560541</wp:posOffset>
                </wp:positionH>
                <wp:positionV relativeFrom="page">
                  <wp:posOffset>804162</wp:posOffset>
                </wp:positionV>
                <wp:extent cx="18761075" cy="1331976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761075" cy="13319760"/>
                          <a:chExt cx="18761075" cy="133197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875" y="3067279"/>
                            <a:ext cx="18755360" cy="1025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5360" h="10252710">
                                <a:moveTo>
                                  <a:pt x="5342255" y="7737284"/>
                                </a:moveTo>
                                <a:lnTo>
                                  <a:pt x="0" y="7737284"/>
                                </a:lnTo>
                                <a:lnTo>
                                  <a:pt x="0" y="10252392"/>
                                </a:lnTo>
                                <a:lnTo>
                                  <a:pt x="5342255" y="10252392"/>
                                </a:lnTo>
                                <a:lnTo>
                                  <a:pt x="5342255" y="7737284"/>
                                </a:lnTo>
                                <a:close/>
                              </a:path>
                              <a:path w="18755360" h="10252710">
                                <a:moveTo>
                                  <a:pt x="5342255" y="23037"/>
                                </a:moveTo>
                                <a:lnTo>
                                  <a:pt x="0" y="23037"/>
                                </a:lnTo>
                                <a:lnTo>
                                  <a:pt x="0" y="7274471"/>
                                </a:lnTo>
                                <a:lnTo>
                                  <a:pt x="5342255" y="7274471"/>
                                </a:lnTo>
                                <a:lnTo>
                                  <a:pt x="5342255" y="23037"/>
                                </a:lnTo>
                                <a:close/>
                              </a:path>
                              <a:path w="18755360" h="10252710">
                                <a:moveTo>
                                  <a:pt x="12415685" y="4803343"/>
                                </a:moveTo>
                                <a:lnTo>
                                  <a:pt x="6009589" y="4803343"/>
                                </a:lnTo>
                                <a:lnTo>
                                  <a:pt x="6009589" y="10252392"/>
                                </a:lnTo>
                                <a:lnTo>
                                  <a:pt x="12415685" y="10252392"/>
                                </a:lnTo>
                                <a:lnTo>
                                  <a:pt x="12415685" y="4803343"/>
                                </a:lnTo>
                                <a:close/>
                              </a:path>
                              <a:path w="18755360" h="10252710">
                                <a:moveTo>
                                  <a:pt x="12415685" y="0"/>
                                </a:moveTo>
                                <a:lnTo>
                                  <a:pt x="6009589" y="0"/>
                                </a:lnTo>
                                <a:lnTo>
                                  <a:pt x="6009589" y="4384510"/>
                                </a:lnTo>
                                <a:lnTo>
                                  <a:pt x="12415685" y="4384510"/>
                                </a:lnTo>
                                <a:lnTo>
                                  <a:pt x="12415685" y="0"/>
                                </a:lnTo>
                                <a:close/>
                              </a:path>
                              <a:path w="18755360" h="10252710">
                                <a:moveTo>
                                  <a:pt x="18754763" y="70497"/>
                                </a:moveTo>
                                <a:lnTo>
                                  <a:pt x="12963665" y="70497"/>
                                </a:lnTo>
                                <a:lnTo>
                                  <a:pt x="12963665" y="4961102"/>
                                </a:lnTo>
                                <a:lnTo>
                                  <a:pt x="18754763" y="4961102"/>
                                </a:lnTo>
                                <a:lnTo>
                                  <a:pt x="18754763" y="70497"/>
                                </a:lnTo>
                                <a:close/>
                              </a:path>
                              <a:path w="18755360" h="10252710">
                                <a:moveTo>
                                  <a:pt x="18754763" y="0"/>
                                </a:moveTo>
                                <a:lnTo>
                                  <a:pt x="12963665" y="0"/>
                                </a:lnTo>
                                <a:lnTo>
                                  <a:pt x="12963665" y="17449"/>
                                </a:lnTo>
                                <a:lnTo>
                                  <a:pt x="18754763" y="17449"/>
                                </a:lnTo>
                                <a:lnTo>
                                  <a:pt x="1875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5" y="0"/>
                            <a:ext cx="966811" cy="1715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016570" y="2595384"/>
                            <a:ext cx="64420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2075" h="472440">
                                <a:moveTo>
                                  <a:pt x="0" y="0"/>
                                </a:moveTo>
                                <a:lnTo>
                                  <a:pt x="6441688" y="0"/>
                                </a:lnTo>
                                <a:lnTo>
                                  <a:pt x="6441688" y="471887"/>
                                </a:lnTo>
                                <a:lnTo>
                                  <a:pt x="0" y="4718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584">
                            <a:solidFill>
                              <a:srgbClr val="002B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75" y="3081236"/>
                            <a:ext cx="12422505" cy="772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22505" h="7723505">
                                <a:moveTo>
                                  <a:pt x="5339461" y="7660500"/>
                                </a:moveTo>
                                <a:lnTo>
                                  <a:pt x="0" y="7660500"/>
                                </a:lnTo>
                                <a:lnTo>
                                  <a:pt x="0" y="7723327"/>
                                </a:lnTo>
                                <a:lnTo>
                                  <a:pt x="5339461" y="7723327"/>
                                </a:lnTo>
                                <a:lnTo>
                                  <a:pt x="5339461" y="7660500"/>
                                </a:lnTo>
                                <a:close/>
                              </a:path>
                              <a:path w="12422505" h="7723505">
                                <a:moveTo>
                                  <a:pt x="12421959" y="0"/>
                                </a:moveTo>
                                <a:lnTo>
                                  <a:pt x="5999823" y="0"/>
                                </a:lnTo>
                                <a:lnTo>
                                  <a:pt x="5999823" y="44678"/>
                                </a:lnTo>
                                <a:lnTo>
                                  <a:pt x="12421959" y="44678"/>
                                </a:lnTo>
                                <a:lnTo>
                                  <a:pt x="12421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792" y="2612836"/>
                            <a:ext cx="525653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6530" h="419100">
                                <a:moveTo>
                                  <a:pt x="0" y="0"/>
                                </a:moveTo>
                                <a:lnTo>
                                  <a:pt x="5256384" y="0"/>
                                </a:lnTo>
                                <a:lnTo>
                                  <a:pt x="5256384" y="418835"/>
                                </a:lnTo>
                                <a:lnTo>
                                  <a:pt x="0" y="418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584">
                            <a:solidFill>
                              <a:srgbClr val="002B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0242" y="3045638"/>
                            <a:ext cx="12405360" cy="488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5360" h="4881245">
                                <a:moveTo>
                                  <a:pt x="53240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43"/>
                                </a:lnTo>
                                <a:lnTo>
                                  <a:pt x="5324094" y="55143"/>
                                </a:lnTo>
                                <a:lnTo>
                                  <a:pt x="5324094" y="0"/>
                                </a:lnTo>
                                <a:close/>
                              </a:path>
                              <a:path w="12405360" h="4881245">
                                <a:moveTo>
                                  <a:pt x="12405208" y="4831270"/>
                                </a:moveTo>
                                <a:lnTo>
                                  <a:pt x="5994222" y="4831270"/>
                                </a:lnTo>
                                <a:lnTo>
                                  <a:pt x="5994222" y="4880826"/>
                                </a:lnTo>
                                <a:lnTo>
                                  <a:pt x="12405208" y="4880826"/>
                                </a:lnTo>
                                <a:lnTo>
                                  <a:pt x="12405208" y="483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0433" y="3861664"/>
                            <a:ext cx="3782083" cy="32068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8262870" y="11461014"/>
                            <a:ext cx="1144905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492125">
                                <a:moveTo>
                                  <a:pt x="0" y="0"/>
                                </a:moveTo>
                                <a:lnTo>
                                  <a:pt x="1144851" y="491637"/>
                                </a:lnTo>
                              </a:path>
                            </a:pathLst>
                          </a:custGeom>
                          <a:ln w="5817">
                            <a:solidFill>
                              <a:srgbClr val="477BA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262870" y="11217848"/>
                            <a:ext cx="201231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314" h="15240">
                                <a:moveTo>
                                  <a:pt x="0" y="14723"/>
                                </a:moveTo>
                                <a:lnTo>
                                  <a:pt x="2011823" y="0"/>
                                </a:lnTo>
                              </a:path>
                            </a:pathLst>
                          </a:custGeom>
                          <a:ln w="5817">
                            <a:solidFill>
                              <a:srgbClr val="477BA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9664" y="9753282"/>
                            <a:ext cx="4430580" cy="2953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2959466" y="3084724"/>
                            <a:ext cx="580199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1995" h="53340">
                                <a:moveTo>
                                  <a:pt x="580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052"/>
                                </a:lnTo>
                                <a:lnTo>
                                  <a:pt x="5801568" y="53052"/>
                                </a:lnTo>
                                <a:lnTo>
                                  <a:pt x="580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144121" y="8033813"/>
                            <a:ext cx="595376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412" w:val="left" w:leader="none"/>
                                </w:tabs>
                                <w:spacing w:line="254" w:lineRule="auto" w:before="0"/>
                                <w:ind w:left="412" w:right="18" w:hanging="413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Series of linear regression analyses (controlling for age and gender)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144151" y="8871343"/>
                            <a:ext cx="559816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0"/>
                                <w:ind w:left="0" w:right="18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FM Status Predicting BMI, Depression, and Sedentary Behavior (</w:t>
                              </w:r>
                              <w:r>
                                <w:rPr>
                                  <w:i/>
                                  <w:sz w:val="36"/>
                                </w:rPr>
                                <w:t>N</w:t>
                              </w:r>
                              <w:r>
                                <w:rPr>
                                  <w:sz w:val="36"/>
                                </w:rPr>
                                <w:t>= 71)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520687" y="10167302"/>
                            <a:ext cx="779780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6"/>
                                </w:rPr>
                                <w:t>Depression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423036" y="11153864"/>
                            <a:ext cx="735330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5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27"/>
                                </w:rPr>
                                <w:t>FM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4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Status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177838" y="11002477"/>
                            <a:ext cx="58166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4" w:lineRule="exact" w:before="0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2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i/>
                                  <w:sz w:val="29"/>
                                </w:rPr>
                                <w:t>β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29"/>
                                </w:rPr>
                                <w:t>=</w:t>
                              </w:r>
                              <w:r>
                                <w:rPr>
                                  <w:rFonts w:ascii="Calibri" w:hAnsi="Calibri"/>
                                  <w:spacing w:val="3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29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9"/>
                                </w:rPr>
                                <w:t>.09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0500069" y="11041946"/>
                            <a:ext cx="704850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6"/>
                                </w:rPr>
                                <w:t>Sedentary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68" w:right="0" w:firstLine="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6"/>
                                </w:rPr>
                                <w:t>Behavior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9789403" y="12097602"/>
                            <a:ext cx="292100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sz w:val="26"/>
                                </w:rPr>
                                <w:t>BMI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451970" y="12928897"/>
                            <a:ext cx="75057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4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9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29"/>
                                </w:rPr>
                                <w:t>**</w:t>
                              </w:r>
                              <w:r>
                                <w:rPr>
                                  <w:rFonts w:ascii="Calibri"/>
                                  <w:i/>
                                  <w:spacing w:val="2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9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i/>
                                  <w:spacing w:val="3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9"/>
                                </w:rPr>
                                <w:t>&lt;</w:t>
                              </w:r>
                              <w:r>
                                <w:rPr>
                                  <w:rFonts w:ascii="Calibri"/>
                                  <w:spacing w:val="2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9"/>
                                </w:rPr>
                                <w:t>.01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137119pt;margin-top:63.319885pt;width:1477.25pt;height:1048.8pt;mso-position-horizontal-relative:page;mso-position-vertical-relative:page;z-index:-15823360" id="docshapegroup2" coordorigin="883,1266" coordsize="29545,20976">
                <v:shape style="position:absolute;left:890;top:6096;width:29536;height:16146" id="docshape3" coordorigin="890,6097" coordsize="29536,16146" path="m9303,18281l890,18281,890,22242,9303,22242,9303,18281xm9303,6133l890,6133,890,17553,9303,17553,9303,6133xm20443,13661l10354,13661,10354,22242,20443,22242,20443,13661xm20443,6097l10354,6097,10354,13001,20443,13001,20443,6097xm30425,6208l21306,6208,21306,13910,30425,13910,30425,6208xm30425,6097l21306,6097,21306,6124,30425,6124,30425,6097xe" filled="true" fillcolor="#ffffff" stroked="false">
                  <v:path arrowok="t"/>
                  <v:fill type="solid"/>
                </v:shape>
                <v:shape style="position:absolute;left:1026;top:1266;width:1523;height:2701" type="#_x0000_t75" id="docshape4" stroked="false">
                  <v:imagedata r:id="rId5" o:title=""/>
                </v:shape>
                <v:rect style="position:absolute;left:10357;top:5353;width:10145;height:744" id="docshape5" filled="false" stroked="true" strokeweight=".439722pt" strokecolor="#002b54">
                  <v:stroke dashstyle="solid"/>
                </v:rect>
                <v:shape style="position:absolute;left:890;top:6118;width:19563;height:12163" id="docshape6" coordorigin="890,6119" coordsize="19563,12163" path="m9299,18183l890,18183,890,18281,9299,18281,9299,18183xm20453,6119l10339,6119,10339,6189,20453,6189,20453,6119xe" filled="true" fillcolor="#f4731a" stroked="false">
                  <v:path arrowok="t"/>
                  <v:fill type="solid"/>
                </v:shape>
                <v:rect style="position:absolute;left:887;top:5381;width:8278;height:660" id="docshape7" filled="false" stroked="true" strokeweight=".439722pt" strokecolor="#002b54">
                  <v:stroke dashstyle="solid"/>
                </v:rect>
                <v:shape style="position:absolute;left:914;top:6062;width:19536;height:7687" id="docshape8" coordorigin="915,6063" coordsize="19536,7687" path="m9299,6063l915,6063,915,6150,9299,6150,9299,6063xm20450,13671l10354,13671,10354,13749,20450,13749,20450,13671xe" filled="true" fillcolor="#f4731a" stroked="false">
                  <v:path arrowok="t"/>
                  <v:fill type="solid"/>
                </v:shape>
                <v:shape style="position:absolute;left:22725;top:7347;width:5957;height:5051" type="#_x0000_t75" id="docshape9" stroked="false">
                  <v:imagedata r:id="rId6" o:title=""/>
                </v:shape>
                <v:line style="position:absolute" from="13895,19315" to="15698,20089" stroked="true" strokeweight=".458044pt" strokecolor="#477ba9">
                  <v:stroke dashstyle="solid"/>
                </v:line>
                <v:line style="position:absolute" from="13895,18955" to="17063,18932" stroked="true" strokeweight=".458044pt" strokecolor="#477ba9">
                  <v:stroke dashstyle="solid"/>
                </v:line>
                <v:shape style="position:absolute;left:11890;top:16625;width:6978;height:4652" type="#_x0000_t75" id="docshape10" stroked="false">
                  <v:imagedata r:id="rId7" o:title=""/>
                </v:shape>
                <v:rect style="position:absolute;left:21291;top:6124;width:9137;height:84" id="docshape11" filled="true" fillcolor="#f4731a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558;top:13918;width:9376;height:849" type="#_x0000_t202" id="docshape12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412" w:val="left" w:leader="none"/>
                          </w:tabs>
                          <w:spacing w:line="254" w:lineRule="auto" w:before="0"/>
                          <w:ind w:left="412" w:right="18" w:hanging="413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Series of linear regression analyses (controlling for age and gender)</w:t>
                        </w:r>
                      </w:p>
                    </w:txbxContent>
                  </v:textbox>
                  <w10:wrap type="none"/>
                </v:shape>
                <v:shape style="position:absolute;left:10558;top:15237;width:8816;height:849" type="#_x0000_t202" id="docshape13" filled="false" stroked="false">
                  <v:textbox inset="0,0,0,0">
                    <w:txbxContent>
                      <w:p>
                        <w:pPr>
                          <w:spacing w:line="254" w:lineRule="auto" w:before="0"/>
                          <w:ind w:left="0" w:right="18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FM Status Predicting BMI, Depression, and Sedentary Behavior (</w:t>
                        </w:r>
                        <w:r>
                          <w:rPr>
                            <w:i/>
                            <w:sz w:val="36"/>
                          </w:rPr>
                          <w:t>N</w:t>
                        </w:r>
                        <w:r>
                          <w:rPr>
                            <w:sz w:val="36"/>
                          </w:rPr>
                          <w:t>= 71)</w:t>
                        </w:r>
                      </w:p>
                    </w:txbxContent>
                  </v:textbox>
                  <w10:wrap type="none"/>
                </v:shape>
                <v:shape style="position:absolute;left:15875;top:17277;width:1228;height:267" type="#_x0000_t202" id="docshape1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6"/>
                          </w:rPr>
                          <w:t>Depression</w:t>
                        </w:r>
                      </w:p>
                    </w:txbxContent>
                  </v:textbox>
                  <w10:wrap type="none"/>
                </v:shape>
                <v:shape style="position:absolute;left:12572;top:18831;width:1158;height:275" type="#_x0000_t202" id="docshape15" filled="false" stroked="false">
                  <v:textbox inset="0,0,0,0">
                    <w:txbxContent>
                      <w:p>
                        <w:pPr>
                          <w:spacing w:line="275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2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27"/>
                          </w:rPr>
                          <w:t>FM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4"/>
                            <w:sz w:val="27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-2"/>
                            <w:sz w:val="27"/>
                          </w:rPr>
                          <w:t>Status</w:t>
                        </w:r>
                      </w:p>
                    </w:txbxContent>
                  </v:textbox>
                  <w10:wrap type="none"/>
                </v:shape>
                <v:shape style="position:absolute;left:15336;top:18593;width:916;height:294" type="#_x0000_t202" id="docshape16" filled="false" stroked="false">
                  <v:textbox inset="0,0,0,0">
                    <w:txbxContent>
                      <w:p>
                        <w:pPr>
                          <w:spacing w:line="294" w:lineRule="exact" w:before="0"/>
                          <w:ind w:left="0" w:right="0" w:firstLine="0"/>
                          <w:jc w:val="left"/>
                          <w:rPr>
                            <w:rFonts w:ascii="Calibri" w:hAnsi="Calibri"/>
                            <w:sz w:val="29"/>
                          </w:rPr>
                        </w:pPr>
                        <w:r>
                          <w:rPr>
                            <w:rFonts w:ascii="Calibri" w:hAnsi="Calibri"/>
                            <w:i/>
                            <w:sz w:val="29"/>
                          </w:rPr>
                          <w:t>β</w:t>
                        </w:r>
                        <w:r>
                          <w:rPr>
                            <w:rFonts w:ascii="Calibri" w:hAnsi="Calibri"/>
                            <w:i/>
                            <w:spacing w:val="1"/>
                            <w:sz w:val="29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29"/>
                          </w:rPr>
                          <w:t>=</w:t>
                        </w:r>
                        <w:r>
                          <w:rPr>
                            <w:rFonts w:ascii="Calibri" w:hAnsi="Calibri"/>
                            <w:spacing w:val="3"/>
                            <w:sz w:val="29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29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spacing w:val="-5"/>
                            <w:sz w:val="29"/>
                          </w:rPr>
                          <w:t>.09</w:t>
                        </w:r>
                      </w:p>
                    </w:txbxContent>
                  </v:textbox>
                  <w10:wrap type="none"/>
                </v:shape>
                <v:shape style="position:absolute;left:17418;top:18655;width:1110;height:558" type="#_x0000_t202" id="docshape17" filled="false" stroked="false">
                  <v:textbox inset="0,0,0,0">
                    <w:txbxContent>
                      <w:p>
                        <w:pPr>
                          <w:spacing w:line="25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6"/>
                          </w:rPr>
                          <w:t>Sedentary</w:t>
                        </w:r>
                      </w:p>
                      <w:p>
                        <w:pPr>
                          <w:spacing w:line="301" w:lineRule="exact" w:before="0"/>
                          <w:ind w:left="68" w:right="0" w:firstLine="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6"/>
                          </w:rPr>
                          <w:t>Behavior</w:t>
                        </w:r>
                      </w:p>
                    </w:txbxContent>
                  </v:textbox>
                  <w10:wrap type="none"/>
                </v:shape>
                <v:shape style="position:absolute;left:16299;top:20317;width:460;height:267" type="#_x0000_t202" id="docshape1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5"/>
                            <w:sz w:val="26"/>
                          </w:rPr>
                          <w:t>BMI</w:t>
                        </w:r>
                      </w:p>
                    </w:txbxContent>
                  </v:textbox>
                  <w10:wrap type="none"/>
                </v:shape>
                <v:shape style="position:absolute;left:11043;top:21626;width:1182;height:294" type="#_x0000_t202" id="docshape19" filled="false" stroked="false">
                  <v:textbox inset="0,0,0,0">
                    <w:txbxContent>
                      <w:p>
                        <w:pPr>
                          <w:spacing w:line="294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9"/>
                          </w:rPr>
                        </w:pPr>
                        <w:r>
                          <w:rPr>
                            <w:rFonts w:ascii="Calibri"/>
                            <w:i/>
                            <w:sz w:val="29"/>
                          </w:rPr>
                          <w:t>**</w:t>
                        </w:r>
                        <w:r>
                          <w:rPr>
                            <w:rFonts w:ascii="Calibri"/>
                            <w:i/>
                            <w:spacing w:val="2"/>
                            <w:sz w:val="29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9"/>
                          </w:rPr>
                          <w:t>p</w:t>
                        </w:r>
                        <w:r>
                          <w:rPr>
                            <w:rFonts w:ascii="Calibri"/>
                            <w:i/>
                            <w:spacing w:val="3"/>
                            <w:sz w:val="29"/>
                          </w:rPr>
                          <w:t> </w:t>
                        </w:r>
                        <w:r>
                          <w:rPr>
                            <w:rFonts w:ascii="Calibri"/>
                            <w:sz w:val="29"/>
                          </w:rPr>
                          <w:t>&lt;</w:t>
                        </w:r>
                        <w:r>
                          <w:rPr>
                            <w:rFonts w:ascii="Calibri"/>
                            <w:spacing w:val="2"/>
                            <w:sz w:val="29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9"/>
                          </w:rPr>
                          <w:t>.01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957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06515" cy="4326255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6406515" cy="4326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616" w:val="left" w:leader="none"/>
                              </w:tabs>
                              <w:spacing w:line="240" w:lineRule="auto" w:before="247" w:after="0"/>
                              <w:ind w:left="616" w:right="0" w:hanging="412"/>
                              <w:jc w:val="left"/>
                            </w:pPr>
                            <w:r>
                              <w:rPr/>
                              <w:t>Demographics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/>
                              <w:t>(Age,</w:t>
                            </w:r>
                            <w:r>
                              <w:rPr>
                                <w:spacing w:val="4"/>
                              </w:rPr>
                              <w:t> </w:t>
                            </w:r>
                            <w:r>
                              <w:rPr/>
                              <w:t>Gender,</w:t>
                            </w:r>
                            <w:r>
                              <w:rPr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Education)</w:t>
                            </w:r>
                          </w:p>
                          <w:p>
                            <w:pPr>
                              <w:pStyle w:val="BodyText"/>
                              <w:spacing w:before="51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616" w:val="left" w:leader="none"/>
                              </w:tabs>
                              <w:spacing w:line="240" w:lineRule="auto" w:before="1" w:after="0"/>
                              <w:ind w:left="616" w:right="0" w:hanging="412"/>
                              <w:jc w:val="left"/>
                            </w:pPr>
                            <w:r>
                              <w:rPr/>
                              <w:t>Beck</w:t>
                            </w:r>
                            <w:r>
                              <w:rPr>
                                <w:spacing w:val="10"/>
                              </w:rPr>
                              <w:t> </w:t>
                            </w:r>
                            <w:r>
                              <w:rPr/>
                              <w:t>Depression</w:t>
                            </w:r>
                            <w:r>
                              <w:rPr>
                                <w:spacing w:val="16"/>
                              </w:rPr>
                              <w:t> </w:t>
                            </w:r>
                            <w:r>
                              <w:rPr/>
                              <w:t>Inventory</w:t>
                            </w:r>
                            <w:r>
                              <w:rPr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II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pos="2199" w:val="left" w:leader="none"/>
                              </w:tabs>
                              <w:spacing w:line="254" w:lineRule="auto" w:before="25" w:after="0"/>
                              <w:ind w:left="2199" w:right="85" w:hanging="413"/>
                              <w:jc w:val="left"/>
                            </w:pPr>
                            <w:r>
                              <w:rPr/>
                              <w:t>21-item self-report inventory measuring the severity of depression in adolescents and adults</w:t>
                            </w:r>
                          </w:p>
                          <w:p>
                            <w:pPr>
                              <w:pStyle w:val="BodyText"/>
                              <w:spacing w:before="28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616" w:val="left" w:leader="none"/>
                              </w:tabs>
                              <w:spacing w:line="240" w:lineRule="auto" w:before="0" w:after="0"/>
                              <w:ind w:left="616" w:right="0" w:hanging="412"/>
                              <w:jc w:val="left"/>
                            </w:pPr>
                            <w:r>
                              <w:rPr/>
                              <w:t>Sedentary</w:t>
                            </w:r>
                            <w:r>
                              <w:rPr>
                                <w:spacing w:val="15"/>
                              </w:rPr>
                              <w:t> </w:t>
                            </w:r>
                            <w:r>
                              <w:rPr/>
                              <w:t>Behavior</w:t>
                            </w:r>
                            <w:r>
                              <w:rPr>
                                <w:spacing w:val="15"/>
                              </w:rPr>
                              <w:t> </w:t>
                            </w:r>
                            <w:r>
                              <w:rPr/>
                              <w:t>Questionnaire;</w:t>
                            </w:r>
                            <w:r>
                              <w:rPr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SBQ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pos="2199" w:val="left" w:leader="none"/>
                              </w:tabs>
                              <w:spacing w:line="254" w:lineRule="auto" w:before="26" w:after="0"/>
                              <w:ind w:left="2199" w:right="410" w:hanging="413"/>
                              <w:jc w:val="left"/>
                            </w:pPr>
                            <w:r>
                              <w:rPr/>
                              <w:t>18-item self-report questionnaire measuring length of stationary activities done on a typical weekday and a typical weekend day</w:t>
                            </w:r>
                          </w:p>
                          <w:p>
                            <w:pPr>
                              <w:pStyle w:val="BodyText"/>
                              <w:spacing w:before="28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616" w:val="left" w:leader="none"/>
                              </w:tabs>
                              <w:spacing w:line="240" w:lineRule="auto" w:before="0" w:after="0"/>
                              <w:ind w:left="616" w:right="0" w:hanging="412"/>
                              <w:jc w:val="left"/>
                            </w:pPr>
                            <w:r>
                              <w:rPr/>
                              <w:t>Body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/>
                              <w:t>Mass</w:t>
                            </w:r>
                            <w:r>
                              <w:rPr>
                                <w:spacing w:val="9"/>
                              </w:rPr>
                              <w:t> </w:t>
                            </w:r>
                            <w:r>
                              <w:rPr/>
                              <w:t>Index;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BMI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2075" w:val="left" w:leader="none"/>
                              </w:tabs>
                              <w:spacing w:line="240" w:lineRule="auto" w:before="26" w:after="0"/>
                              <w:ind w:left="2075" w:right="0" w:hanging="288"/>
                              <w:jc w:val="left"/>
                            </w:pPr>
                            <w:r>
                              <w:rPr/>
                              <w:t>Calculated</w:t>
                            </w:r>
                            <w:r>
                              <w:rPr>
                                <w:spacing w:val="10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/>
                              <w:t>height</w:t>
                            </w:r>
                            <w:r>
                              <w:rPr>
                                <w:spacing w:val="9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weight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04.45pt;height:340.65pt;mso-position-horizontal-relative:char;mso-position-vertical-relative:line" type="#_x0000_t202" id="docshape20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616" w:val="left" w:leader="none"/>
                        </w:tabs>
                        <w:spacing w:line="240" w:lineRule="auto" w:before="247" w:after="0"/>
                        <w:ind w:left="616" w:right="0" w:hanging="412"/>
                        <w:jc w:val="left"/>
                      </w:pPr>
                      <w:r>
                        <w:rPr/>
                        <w:t>Demographics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(Age,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Gender,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spacing w:val="-2"/>
                        </w:rPr>
                        <w:t>Education)</w:t>
                      </w:r>
                    </w:p>
                    <w:p>
                      <w:pPr>
                        <w:pStyle w:val="BodyText"/>
                        <w:spacing w:before="51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616" w:val="left" w:leader="none"/>
                        </w:tabs>
                        <w:spacing w:line="240" w:lineRule="auto" w:before="1" w:after="0"/>
                        <w:ind w:left="616" w:right="0" w:hanging="412"/>
                        <w:jc w:val="left"/>
                      </w:pPr>
                      <w:r>
                        <w:rPr/>
                        <w:t>Beck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Depression</w:t>
                      </w:r>
                      <w:r>
                        <w:rPr>
                          <w:spacing w:val="16"/>
                        </w:rPr>
                        <w:t> </w:t>
                      </w:r>
                      <w:r>
                        <w:rPr/>
                        <w:t>Inventory</w:t>
                      </w:r>
                      <w:r>
                        <w:rPr>
                          <w:spacing w:val="12"/>
                        </w:rPr>
                        <w:t> </w:t>
                      </w:r>
                      <w:r>
                        <w:rPr>
                          <w:spacing w:val="-5"/>
                        </w:rPr>
                        <w:t>II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pos="2199" w:val="left" w:leader="none"/>
                        </w:tabs>
                        <w:spacing w:line="254" w:lineRule="auto" w:before="25" w:after="0"/>
                        <w:ind w:left="2199" w:right="85" w:hanging="413"/>
                        <w:jc w:val="left"/>
                      </w:pPr>
                      <w:r>
                        <w:rPr/>
                        <w:t>21-item self-report inventory measuring the severity of depression in adolescents and adults</w:t>
                      </w:r>
                    </w:p>
                    <w:p>
                      <w:pPr>
                        <w:pStyle w:val="BodyText"/>
                        <w:spacing w:before="28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616" w:val="left" w:leader="none"/>
                        </w:tabs>
                        <w:spacing w:line="240" w:lineRule="auto" w:before="0" w:after="0"/>
                        <w:ind w:left="616" w:right="0" w:hanging="412"/>
                        <w:jc w:val="left"/>
                      </w:pPr>
                      <w:r>
                        <w:rPr/>
                        <w:t>Sedentary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Behavior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Questionnaire;</w:t>
                      </w:r>
                      <w:r>
                        <w:rPr>
                          <w:spacing w:val="16"/>
                        </w:rPr>
                        <w:t> </w:t>
                      </w:r>
                      <w:r>
                        <w:rPr>
                          <w:spacing w:val="-5"/>
                        </w:rPr>
                        <w:t>SBQ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pos="2199" w:val="left" w:leader="none"/>
                        </w:tabs>
                        <w:spacing w:line="254" w:lineRule="auto" w:before="26" w:after="0"/>
                        <w:ind w:left="2199" w:right="410" w:hanging="413"/>
                        <w:jc w:val="left"/>
                      </w:pPr>
                      <w:r>
                        <w:rPr/>
                        <w:t>18-item self-report questionnaire measuring length of stationary activities done on a typical weekday and a typical weekend day</w:t>
                      </w:r>
                    </w:p>
                    <w:p>
                      <w:pPr>
                        <w:pStyle w:val="BodyText"/>
                        <w:spacing w:before="28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616" w:val="left" w:leader="none"/>
                        </w:tabs>
                        <w:spacing w:line="240" w:lineRule="auto" w:before="0" w:after="0"/>
                        <w:ind w:left="616" w:right="0" w:hanging="412"/>
                        <w:jc w:val="left"/>
                      </w:pPr>
                      <w:r>
                        <w:rPr/>
                        <w:t>Body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Mass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Index;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>
                          <w:spacing w:val="-5"/>
                        </w:rPr>
                        <w:t>BMI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2075" w:val="left" w:leader="none"/>
                        </w:tabs>
                        <w:spacing w:line="240" w:lineRule="auto" w:before="26" w:after="0"/>
                        <w:ind w:left="2075" w:right="0" w:hanging="288"/>
                        <w:jc w:val="left"/>
                      </w:pPr>
                      <w:r>
                        <w:rPr/>
                        <w:t>Calculated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height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>
                          <w:spacing w:val="-2"/>
                        </w:rPr>
                        <w:t>weight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before="0"/>
        <w:ind w:left="0" w:right="819" w:firstLine="0"/>
        <w:jc w:val="center"/>
        <w:rPr>
          <w:sz w:val="4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13529082</wp:posOffset>
                </wp:positionH>
                <wp:positionV relativeFrom="paragraph">
                  <wp:posOffset>-4314387</wp:posOffset>
                </wp:positionV>
                <wp:extent cx="5791200" cy="489077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791200" cy="4890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577" w:val="left" w:leader="none"/>
                              </w:tabs>
                              <w:spacing w:line="254" w:lineRule="auto" w:before="148" w:after="0"/>
                              <w:ind w:left="577" w:right="2206" w:hanging="413"/>
                              <w:jc w:val="left"/>
                            </w:pPr>
                            <w:r>
                              <w:rPr/>
                              <w:t>FM status only predictive of depressive symptoms (</w:t>
                            </w:r>
                            <w:r>
                              <w:rPr>
                                <w:i/>
                              </w:rPr>
                              <w:t>p</w:t>
                            </w:r>
                            <w:r>
                              <w:rPr/>
                              <w:t>&lt;.01)</w:t>
                            </w: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311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577" w:val="left" w:leader="none"/>
                              </w:tabs>
                              <w:spacing w:line="254" w:lineRule="auto" w:before="0" w:after="0"/>
                              <w:ind w:left="577" w:right="536" w:hanging="413"/>
                              <w:jc w:val="left"/>
                            </w:pPr>
                            <w:r>
                              <w:rPr/>
                              <w:t>Neither BMI nor sedentary behavior varied by FM status, after controlling for age and gender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5.282104pt;margin-top:-339.715576pt;width:456pt;height:385.1pt;mso-position-horizontal-relative:page;mso-position-vertical-relative:paragraph;z-index:15731712" type="#_x0000_t202" id="docshape21" filled="false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577" w:val="left" w:leader="none"/>
                        </w:tabs>
                        <w:spacing w:line="254" w:lineRule="auto" w:before="148" w:after="0"/>
                        <w:ind w:left="577" w:right="2206" w:hanging="413"/>
                        <w:jc w:val="left"/>
                      </w:pPr>
                      <w:r>
                        <w:rPr/>
                        <w:t>FM status only predictive of depressive symptoms (</w:t>
                      </w:r>
                      <w:r>
                        <w:rPr>
                          <w:i/>
                        </w:rPr>
                        <w:t>p</w:t>
                      </w:r>
                      <w:r>
                        <w:rPr/>
                        <w:t>&lt;.01)</w:t>
                      </w: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311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577" w:val="left" w:leader="none"/>
                        </w:tabs>
                        <w:spacing w:line="254" w:lineRule="auto" w:before="0" w:after="0"/>
                        <w:ind w:left="577" w:right="536" w:hanging="413"/>
                        <w:jc w:val="left"/>
                      </w:pPr>
                      <w:r>
                        <w:rPr/>
                        <w:t>Neither BMI nor sedentary behavior varied by FM status, after controlling for age and gender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565427</wp:posOffset>
                </wp:positionH>
                <wp:positionV relativeFrom="paragraph">
                  <wp:posOffset>-4351385</wp:posOffset>
                </wp:positionV>
                <wp:extent cx="5342255" cy="724154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5342255" cy="724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612" w:val="left" w:leader="none"/>
                                <w:tab w:pos="614" w:val="left" w:leader="none"/>
                              </w:tabs>
                              <w:spacing w:line="254" w:lineRule="auto" w:before="256" w:after="0"/>
                              <w:ind w:left="614" w:right="627" w:hanging="413"/>
                              <w:jc w:val="both"/>
                            </w:pPr>
                            <w:r>
                              <w:rPr/>
                              <w:t>Fibromyalgia (FM):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chronic musculoskeletal pain, fatigue, poor physical functioning, poor mental health</w:t>
                            </w:r>
                          </w:p>
                          <w:p>
                            <w:pPr>
                              <w:pStyle w:val="BodyText"/>
                              <w:spacing w:before="29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614" w:val="left" w:leader="none"/>
                              </w:tabs>
                              <w:spacing w:line="254" w:lineRule="auto" w:before="0" w:after="0"/>
                              <w:ind w:left="614" w:right="1105" w:hanging="413"/>
                              <w:jc w:val="left"/>
                            </w:pPr>
                            <w:r>
                              <w:rPr/>
                              <w:t>Symptoms found in ~ 2-7%; prevalence increases with age, &gt;7% in women 60-79 </w:t>
                            </w:r>
                            <w:r>
                              <w:rPr>
                                <w:spacing w:val="-2"/>
                              </w:rPr>
                              <w:t>years</w:t>
                            </w:r>
                          </w:p>
                          <w:p>
                            <w:pPr>
                              <w:pStyle w:val="BodyText"/>
                              <w:spacing w:before="28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614" w:val="left" w:leader="none"/>
                              </w:tabs>
                              <w:spacing w:line="254" w:lineRule="auto" w:before="1" w:after="0"/>
                              <w:ind w:left="614" w:right="422" w:hanging="413"/>
                              <w:jc w:val="left"/>
                            </w:pPr>
                            <w:r>
                              <w:rPr/>
                              <w:t>FM often concurrent with other ailments (e.g., arthritis, lupus, irritable bowel syndrome)</w:t>
                            </w:r>
                          </w:p>
                          <w:p>
                            <w:pPr>
                              <w:pStyle w:val="BodyText"/>
                              <w:spacing w:before="27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613" w:val="left" w:leader="none"/>
                                <w:tab w:pos="1323" w:val="left" w:leader="none"/>
                              </w:tabs>
                              <w:spacing w:line="254" w:lineRule="auto" w:before="0" w:after="0"/>
                              <w:ind w:left="1323" w:right="1100" w:hanging="1122"/>
                              <w:jc w:val="left"/>
                            </w:pPr>
                            <w:r>
                              <w:rPr/>
                              <w:t>Significant relationships between: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Chronic pain and sedentary behavior Chronic pain and obesity</w:t>
                            </w:r>
                          </w:p>
                          <w:p>
                            <w:pPr>
                              <w:pStyle w:val="BodyText"/>
                              <w:spacing w:line="254" w:lineRule="auto" w:before="3"/>
                              <w:ind w:left="1323" w:right="1304"/>
                            </w:pPr>
                            <w:r>
                              <w:rPr/>
                              <w:t>Chronic pain and depression Sedentary behavior and depression</w:t>
                            </w:r>
                          </w:p>
                          <w:p>
                            <w:pPr>
                              <w:pStyle w:val="BodyText"/>
                              <w:spacing w:before="27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614" w:val="left" w:leader="none"/>
                              </w:tabs>
                              <w:spacing w:line="254" w:lineRule="auto" w:before="0" w:after="0"/>
                              <w:ind w:left="614" w:right="1075" w:hanging="413"/>
                              <w:jc w:val="left"/>
                            </w:pPr>
                            <w:r>
                              <w:rPr/>
                              <w:t>Current study evaluates the relationship between FM, depressive symptoms, BMI, and sedentary behavior</w:t>
                            </w:r>
                          </w:p>
                          <w:p>
                            <w:pPr>
                              <w:pStyle w:val="BodyText"/>
                              <w:spacing w:before="29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614" w:val="left" w:leader="none"/>
                              </w:tabs>
                              <w:spacing w:line="254" w:lineRule="auto" w:before="0" w:after="0"/>
                              <w:ind w:left="614" w:right="832" w:hanging="413"/>
                              <w:jc w:val="left"/>
                            </w:pPr>
                            <w:r>
                              <w:rPr/>
                              <w:t>Hypothesis: individuals with FM will have higher sedentary behavior scores, higher BMI and greater depressive symptomology than those without FM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521877pt;margin-top:-342.628754pt;width:420.65pt;height:570.2pt;mso-position-horizontal-relative:page;mso-position-vertical-relative:paragraph;z-index:15732224" type="#_x0000_t202" id="docshape22" filled="false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612" w:val="left" w:leader="none"/>
                          <w:tab w:pos="614" w:val="left" w:leader="none"/>
                        </w:tabs>
                        <w:spacing w:line="254" w:lineRule="auto" w:before="256" w:after="0"/>
                        <w:ind w:left="614" w:right="627" w:hanging="413"/>
                        <w:jc w:val="both"/>
                      </w:pPr>
                      <w:r>
                        <w:rPr/>
                        <w:t>Fibromyalgia (FM):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chronic musculoskeletal pain, fatigue, poor physical functioning, poor mental health</w:t>
                      </w:r>
                    </w:p>
                    <w:p>
                      <w:pPr>
                        <w:pStyle w:val="BodyText"/>
                        <w:spacing w:before="29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614" w:val="left" w:leader="none"/>
                        </w:tabs>
                        <w:spacing w:line="254" w:lineRule="auto" w:before="0" w:after="0"/>
                        <w:ind w:left="614" w:right="1105" w:hanging="413"/>
                        <w:jc w:val="left"/>
                      </w:pPr>
                      <w:r>
                        <w:rPr/>
                        <w:t>Symptoms found in ~ 2-7%; prevalence increases with age, &gt;7% in women 60-79 </w:t>
                      </w:r>
                      <w:r>
                        <w:rPr>
                          <w:spacing w:val="-2"/>
                        </w:rPr>
                        <w:t>years</w:t>
                      </w:r>
                    </w:p>
                    <w:p>
                      <w:pPr>
                        <w:pStyle w:val="BodyText"/>
                        <w:spacing w:before="28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614" w:val="left" w:leader="none"/>
                        </w:tabs>
                        <w:spacing w:line="254" w:lineRule="auto" w:before="1" w:after="0"/>
                        <w:ind w:left="614" w:right="422" w:hanging="413"/>
                        <w:jc w:val="left"/>
                      </w:pPr>
                      <w:r>
                        <w:rPr/>
                        <w:t>FM often concurrent with other ailments (e.g., arthritis, lupus, irritable bowel syndrome)</w:t>
                      </w:r>
                    </w:p>
                    <w:p>
                      <w:pPr>
                        <w:pStyle w:val="BodyText"/>
                        <w:spacing w:before="27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613" w:val="left" w:leader="none"/>
                          <w:tab w:pos="1323" w:val="left" w:leader="none"/>
                        </w:tabs>
                        <w:spacing w:line="254" w:lineRule="auto" w:before="0" w:after="0"/>
                        <w:ind w:left="1323" w:right="1100" w:hanging="1122"/>
                        <w:jc w:val="left"/>
                      </w:pPr>
                      <w:r>
                        <w:rPr/>
                        <w:t>Significant relationships between: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Chronic pain and sedentary behavior Chronic pain and obesity</w:t>
                      </w:r>
                    </w:p>
                    <w:p>
                      <w:pPr>
                        <w:pStyle w:val="BodyText"/>
                        <w:spacing w:line="254" w:lineRule="auto" w:before="3"/>
                        <w:ind w:left="1323" w:right="1304"/>
                      </w:pPr>
                      <w:r>
                        <w:rPr/>
                        <w:t>Chronic pain and depression Sedentary behavior and depression</w:t>
                      </w:r>
                    </w:p>
                    <w:p>
                      <w:pPr>
                        <w:pStyle w:val="BodyText"/>
                        <w:spacing w:before="27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614" w:val="left" w:leader="none"/>
                        </w:tabs>
                        <w:spacing w:line="254" w:lineRule="auto" w:before="0" w:after="0"/>
                        <w:ind w:left="614" w:right="1075" w:hanging="413"/>
                        <w:jc w:val="left"/>
                      </w:pPr>
                      <w:r>
                        <w:rPr/>
                        <w:t>Current study evaluates the relationship between FM, depressive symptoms, BMI, and sedentary behavior</w:t>
                      </w:r>
                    </w:p>
                    <w:p>
                      <w:pPr>
                        <w:pStyle w:val="BodyText"/>
                        <w:spacing w:before="29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614" w:val="left" w:leader="none"/>
                        </w:tabs>
                        <w:spacing w:line="254" w:lineRule="auto" w:before="0" w:after="0"/>
                        <w:ind w:left="614" w:right="832" w:hanging="413"/>
                        <w:jc w:val="left"/>
                      </w:pPr>
                      <w:r>
                        <w:rPr/>
                        <w:t>Hypothesis: individuals with FM will have higher sedentary behavior scores, higher BMI and greater depressive symptomology than those without FM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-2"/>
          <w:sz w:val="46"/>
        </w:rPr>
        <w:t>Analysis</w:t>
      </w:r>
    </w:p>
    <w:p>
      <w:pPr>
        <w:spacing w:before="411"/>
        <w:ind w:left="0" w:right="3444" w:firstLine="0"/>
        <w:jc w:val="right"/>
        <w:rPr>
          <w:sz w:val="46"/>
        </w:rPr>
      </w:pPr>
      <w:r>
        <w:rPr>
          <w:color w:val="FFFFFF"/>
          <w:spacing w:val="-2"/>
          <w:sz w:val="46"/>
        </w:rPr>
        <w:t>Conclusions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8"/>
        <w:rPr>
          <w:sz w:val="46"/>
        </w:rPr>
      </w:pPr>
    </w:p>
    <w:p>
      <w:pPr>
        <w:spacing w:before="0"/>
        <w:ind w:left="3293" w:right="0" w:firstLine="0"/>
        <w:jc w:val="left"/>
        <w:rPr>
          <w:sz w:val="4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2608">
                <wp:simplePos x="0" y="0"/>
                <wp:positionH relativeFrom="page">
                  <wp:posOffset>13521404</wp:posOffset>
                </wp:positionH>
                <wp:positionV relativeFrom="paragraph">
                  <wp:posOffset>-1969276</wp:posOffset>
                </wp:positionV>
                <wp:extent cx="5798820" cy="259842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5798820" cy="2598420"/>
                          <a:chExt cx="5798820" cy="25984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7678" y="11168"/>
                            <a:ext cx="5791200" cy="258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2587625">
                                <a:moveTo>
                                  <a:pt x="0" y="2587006"/>
                                </a:moveTo>
                                <a:lnTo>
                                  <a:pt x="5791097" y="2587006"/>
                                </a:lnTo>
                                <a:lnTo>
                                  <a:pt x="57910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7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79882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41910">
                                <a:moveTo>
                                  <a:pt x="5798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883"/>
                                </a:lnTo>
                                <a:lnTo>
                                  <a:pt x="5798776" y="41883"/>
                                </a:lnTo>
                                <a:lnTo>
                                  <a:pt x="5798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78" y="41883"/>
                            <a:ext cx="5791200" cy="255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577" w:val="left" w:leader="none"/>
                                </w:tabs>
                                <w:spacing w:before="93"/>
                                <w:ind w:left="577" w:right="0" w:hanging="412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Findings</w:t>
                              </w:r>
                              <w:r>
                                <w:rPr>
                                  <w:spacing w:val="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contrary</w:t>
                              </w:r>
                              <w:r>
                                <w:rPr>
                                  <w:spacing w:val="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expectations</w:t>
                              </w:r>
                            </w:p>
                            <w:p>
                              <w:pPr>
                                <w:spacing w:line="240" w:lineRule="auto" w:before="51"/>
                                <w:rPr>
                                  <w:sz w:val="36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577" w:val="left" w:leader="none"/>
                                </w:tabs>
                                <w:spacing w:line="254" w:lineRule="auto" w:before="0"/>
                                <w:ind w:left="577" w:right="1680" w:hanging="413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Results likely explained by methodological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considerations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sz w:val="36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577" w:val="left" w:leader="none"/>
                                </w:tabs>
                                <w:spacing w:line="254" w:lineRule="auto" w:before="0"/>
                                <w:ind w:left="577" w:right="536" w:hanging="413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Selective attrition in larger longitudinal study</w:t>
                              </w:r>
                              <w:r>
                                <w:rPr>
                                  <w:spacing w:val="8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could be responsible for healthier FM participants and the consequential null results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4.67749pt;margin-top:-155.061157pt;width:456.6pt;height:204.6pt;mso-position-horizontal-relative:page;mso-position-vertical-relative:paragraph;z-index:-15823872" id="docshapegroup23" coordorigin="21294,-3101" coordsize="9132,4092">
                <v:rect style="position:absolute;left:21305;top:-3084;width:9120;height:4075" id="docshape24" filled="true" fillcolor="#ffffff" stroked="false">
                  <v:fill type="solid"/>
                </v:rect>
                <v:rect style="position:absolute;left:21293;top:-3102;width:9132;height:66" id="docshape25" filled="true" fillcolor="#f4731a" stroked="false">
                  <v:fill type="solid"/>
                </v:rect>
                <v:shape style="position:absolute;left:21305;top:-3036;width:9120;height:4026" type="#_x0000_t202" id="docshape26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77" w:val="left" w:leader="none"/>
                          </w:tabs>
                          <w:spacing w:before="93"/>
                          <w:ind w:left="577" w:right="0" w:hanging="412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Findings</w:t>
                        </w:r>
                        <w:r>
                          <w:rPr>
                            <w:spacing w:val="10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contrary</w:t>
                        </w:r>
                        <w:r>
                          <w:rPr>
                            <w:spacing w:val="10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to</w:t>
                        </w:r>
                        <w:r>
                          <w:rPr>
                            <w:spacing w:val="9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sz w:val="36"/>
                          </w:rPr>
                          <w:t>expectations</w:t>
                        </w:r>
                      </w:p>
                      <w:p>
                        <w:pPr>
                          <w:spacing w:line="240" w:lineRule="auto" w:before="51"/>
                          <w:rPr>
                            <w:sz w:val="36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77" w:val="left" w:leader="none"/>
                          </w:tabs>
                          <w:spacing w:line="254" w:lineRule="auto" w:before="0"/>
                          <w:ind w:left="577" w:right="1680" w:hanging="413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Results likely explained by methodological </w:t>
                        </w:r>
                        <w:r>
                          <w:rPr>
                            <w:spacing w:val="-2"/>
                            <w:sz w:val="36"/>
                          </w:rPr>
                          <w:t>considerations</w:t>
                        </w:r>
                      </w:p>
                      <w:p>
                        <w:pPr>
                          <w:spacing w:line="240" w:lineRule="auto" w:before="28"/>
                          <w:rPr>
                            <w:sz w:val="36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77" w:val="left" w:leader="none"/>
                          </w:tabs>
                          <w:spacing w:line="254" w:lineRule="auto" w:before="0"/>
                          <w:ind w:left="577" w:right="536" w:hanging="413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Selective attrition in larger longitudinal study</w:t>
                        </w:r>
                        <w:r>
                          <w:rPr>
                            <w:spacing w:val="80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could be responsible for healthier FM participants and the consequential null results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565427</wp:posOffset>
                </wp:positionH>
                <wp:positionV relativeFrom="paragraph">
                  <wp:posOffset>399237</wp:posOffset>
                </wp:positionV>
                <wp:extent cx="5342255" cy="251523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5342255" cy="2515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614" w:val="left" w:leader="none"/>
                              </w:tabs>
                              <w:spacing w:line="254" w:lineRule="auto" w:before="305" w:after="0"/>
                              <w:ind w:left="614" w:right="1481" w:hanging="413"/>
                              <w:jc w:val="left"/>
                            </w:pPr>
                            <w:r>
                              <w:rPr/>
                              <w:t>2016 cross-sectional data derived from ongoing longitudinal study</w:t>
                            </w:r>
                          </w:p>
                          <w:p>
                            <w:pPr>
                              <w:pStyle w:val="BodyText"/>
                              <w:spacing w:before="12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613" w:val="left" w:leader="none"/>
                              </w:tabs>
                              <w:spacing w:line="240" w:lineRule="auto" w:before="0" w:after="0"/>
                              <w:ind w:left="613" w:right="0" w:hanging="412"/>
                              <w:jc w:val="left"/>
                            </w:pPr>
                            <w:r>
                              <w:rPr>
                                <w:i/>
                              </w:rPr>
                              <w:t>N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7"/>
                              </w:rPr>
                              <w:t> </w:t>
                            </w:r>
                            <w:r>
                              <w:rPr/>
                              <w:t>71,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M</w:t>
                            </w:r>
                            <w:r>
                              <w:rPr>
                                <w:rFonts w:ascii="Calibri" w:hAnsi="Calibri"/>
                                <w:i/>
                                <w:position w:val="-8"/>
                                <w:sz w:val="24"/>
                              </w:rPr>
                              <w:t>age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10"/>
                              </w:rPr>
                              <w:t> </w:t>
                            </w:r>
                            <w:r>
                              <w:rPr/>
                              <w:t>67.4,</w:t>
                            </w:r>
                            <w:r>
                              <w:rPr>
                                <w:spacing w:val="7"/>
                              </w:rPr>
                              <w:t> </w:t>
                            </w:r>
                            <w:r>
                              <w:rPr/>
                              <w:t>77%</w:t>
                            </w:r>
                            <w:r>
                              <w:rPr>
                                <w:spacing w:val="9"/>
                              </w:rPr>
                              <w:t> </w:t>
                            </w:r>
                            <w:r>
                              <w:rPr/>
                              <w:t>female,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/>
                              <w:t>54%</w:t>
                            </w:r>
                            <w:r>
                              <w:rPr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FM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614" w:val="left" w:leader="none"/>
                              </w:tabs>
                              <w:spacing w:line="254" w:lineRule="auto" w:before="398" w:after="0"/>
                              <w:ind w:left="614" w:right="1076" w:hanging="413"/>
                              <w:jc w:val="left"/>
                            </w:pPr>
                            <w:r>
                              <w:rPr/>
                              <w:t>Participants completed psychological and physical assessments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521877pt;margin-top:31.436039pt;width:420.65pt;height:198.05pt;mso-position-horizontal-relative:page;mso-position-vertical-relative:paragraph;z-index:15731200" type="#_x0000_t202" id="docshape27" filled="false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614" w:val="left" w:leader="none"/>
                        </w:tabs>
                        <w:spacing w:line="254" w:lineRule="auto" w:before="305" w:after="0"/>
                        <w:ind w:left="614" w:right="1481" w:hanging="413"/>
                        <w:jc w:val="left"/>
                      </w:pPr>
                      <w:r>
                        <w:rPr/>
                        <w:t>2016 cross-sectional data derived from ongoing longitudinal study</w:t>
                      </w:r>
                    </w:p>
                    <w:p>
                      <w:pPr>
                        <w:pStyle w:val="BodyText"/>
                        <w:spacing w:before="12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613" w:val="left" w:leader="none"/>
                        </w:tabs>
                        <w:spacing w:line="240" w:lineRule="auto" w:before="0" w:after="0"/>
                        <w:ind w:left="613" w:right="0" w:hanging="412"/>
                        <w:jc w:val="left"/>
                      </w:pPr>
                      <w:r>
                        <w:rPr>
                          <w:i/>
                        </w:rPr>
                        <w:t>N</w:t>
                      </w:r>
                      <w:r>
                        <w:rPr/>
                        <w:t>=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71,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>
                          <w:rFonts w:ascii="Calibri" w:hAnsi="Calibri"/>
                          <w:i/>
                        </w:rPr>
                        <w:t>M</w:t>
                      </w:r>
                      <w:r>
                        <w:rPr>
                          <w:rFonts w:ascii="Calibri" w:hAnsi="Calibri"/>
                          <w:i/>
                          <w:position w:val="-8"/>
                          <w:sz w:val="24"/>
                        </w:rPr>
                        <w:t>age</w:t>
                      </w:r>
                      <w:r>
                        <w:rPr/>
                        <w:t>=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67.4,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77%</w:t>
                      </w:r>
                      <w:r>
                        <w:rPr>
                          <w:spacing w:val="9"/>
                        </w:rPr>
                        <w:t> </w:t>
                      </w:r>
                      <w:r>
                        <w:rPr/>
                        <w:t>female,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/>
                        <w:t>54%</w:t>
                      </w:r>
                      <w:r>
                        <w:rPr>
                          <w:spacing w:val="8"/>
                        </w:rPr>
                        <w:t> </w:t>
                      </w:r>
                      <w:r>
                        <w:rPr>
                          <w:spacing w:val="-5"/>
                        </w:rPr>
                        <w:t>FM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614" w:val="left" w:leader="none"/>
                        </w:tabs>
                        <w:spacing w:line="254" w:lineRule="auto" w:before="398" w:after="0"/>
                        <w:ind w:left="614" w:right="1076" w:hanging="413"/>
                        <w:jc w:val="left"/>
                      </w:pPr>
                      <w:r>
                        <w:rPr/>
                        <w:t>Participants completed psychological and physical assessments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-2"/>
          <w:sz w:val="46"/>
        </w:rPr>
        <w:t>Method</w:t>
      </w:r>
    </w:p>
    <w:p>
      <w:pPr>
        <w:spacing w:before="503"/>
        <w:ind w:left="0" w:right="2985" w:firstLine="0"/>
        <w:jc w:val="right"/>
        <w:rPr>
          <w:sz w:val="46"/>
        </w:rPr>
      </w:pPr>
      <w:r>
        <w:rPr>
          <w:color w:val="FFFFFF"/>
          <w:sz w:val="46"/>
        </w:rPr>
        <w:t>Future</w:t>
      </w:r>
      <w:r>
        <w:rPr>
          <w:color w:val="FFFFFF"/>
          <w:spacing w:val="-24"/>
          <w:sz w:val="46"/>
        </w:rPr>
        <w:t> </w:t>
      </w:r>
      <w:r>
        <w:rPr>
          <w:color w:val="FFFFFF"/>
          <w:spacing w:val="-2"/>
          <w:sz w:val="46"/>
        </w:rPr>
        <w:t>Research</w:t>
      </w:r>
    </w:p>
    <w:p>
      <w:pPr>
        <w:pStyle w:val="BodyText"/>
        <w:spacing w:before="3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13524196</wp:posOffset>
                </wp:positionH>
                <wp:positionV relativeFrom="paragraph">
                  <wp:posOffset>112069</wp:posOffset>
                </wp:positionV>
                <wp:extent cx="5797550" cy="181102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5797550" cy="1811020"/>
                          <a:chExt cx="5797550" cy="181102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886" y="0"/>
                            <a:ext cx="5791200" cy="181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1811020">
                                <a:moveTo>
                                  <a:pt x="0" y="1810765"/>
                                </a:moveTo>
                                <a:lnTo>
                                  <a:pt x="5791097" y="1810765"/>
                                </a:lnTo>
                                <a:lnTo>
                                  <a:pt x="57910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0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6980"/>
                            <a:ext cx="57975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47625">
                                <a:moveTo>
                                  <a:pt x="5797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468"/>
                                </a:lnTo>
                                <a:lnTo>
                                  <a:pt x="5797380" y="47468"/>
                                </a:lnTo>
                                <a:lnTo>
                                  <a:pt x="5797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886" y="54448"/>
                            <a:ext cx="5791200" cy="1756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577" w:val="left" w:leader="none"/>
                                </w:tabs>
                                <w:spacing w:line="254" w:lineRule="auto" w:before="71"/>
                                <w:ind w:left="577" w:right="2122" w:hanging="413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Continued longitudinal study and cross- comparison of results</w:t>
                              </w:r>
                            </w:p>
                            <w:p>
                              <w:pPr>
                                <w:spacing w:line="240" w:lineRule="auto" w:before="27"/>
                                <w:rPr>
                                  <w:sz w:val="36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577" w:val="left" w:leader="none"/>
                                </w:tabs>
                                <w:spacing w:line="254" w:lineRule="auto" w:before="0"/>
                                <w:ind w:left="577" w:right="759" w:hanging="413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Use activity trackers in combination with SBQ to compare self-report and performance 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4.897339pt;margin-top:8.824366pt;width:456.5pt;height:142.6pt;mso-position-horizontal-relative:page;mso-position-vertical-relative:paragraph;z-index:-15728128;mso-wrap-distance-left:0;mso-wrap-distance-right:0" id="docshapegroup28" coordorigin="21298,176" coordsize="9130,2852">
                <v:rect style="position:absolute;left:21305;top:176;width:9120;height:2852" id="docshape29" filled="true" fillcolor="#ffffff" stroked="false">
                  <v:fill type="solid"/>
                </v:rect>
                <v:rect style="position:absolute;left:21297;top:187;width:9130;height:75" id="docshape30" filled="true" fillcolor="#f4731a" stroked="false">
                  <v:fill type="solid"/>
                </v:rect>
                <v:shape style="position:absolute;left:21305;top:262;width:9120;height:2766" type="#_x0000_t202" id="docshape31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577" w:val="left" w:leader="none"/>
                          </w:tabs>
                          <w:spacing w:line="254" w:lineRule="auto" w:before="71"/>
                          <w:ind w:left="577" w:right="2122" w:hanging="413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Continued longitudinal study and cross- comparison of results</w:t>
                        </w:r>
                      </w:p>
                      <w:p>
                        <w:pPr>
                          <w:spacing w:line="240" w:lineRule="auto" w:before="27"/>
                          <w:rPr>
                            <w:sz w:val="36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577" w:val="left" w:leader="none"/>
                          </w:tabs>
                          <w:spacing w:line="254" w:lineRule="auto" w:before="0"/>
                          <w:ind w:left="577" w:right="759" w:hanging="413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Use activity trackers in combination with SBQ to compare self-report and performance measures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31660" w:h="23750" w:orient="landscape"/>
      <w:pgMar w:top="460" w:bottom="280" w:left="78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"/>
      <w:lvlJc w:val="left"/>
      <w:pPr>
        <w:ind w:left="614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9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78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7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7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16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5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54" w:hanging="41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"/>
      <w:lvlJc w:val="left"/>
      <w:pPr>
        <w:ind w:left="577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3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7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1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5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9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3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7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11" w:hanging="4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"/>
      <w:lvlJc w:val="left"/>
      <w:pPr>
        <w:ind w:left="614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9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78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7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7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16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5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5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54" w:hanging="41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412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5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1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6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2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97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93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88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84" w:hanging="41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"/>
      <w:lvlJc w:val="left"/>
      <w:pPr>
        <w:ind w:left="577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2B54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3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7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1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5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9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3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7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11" w:hanging="41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"/>
      <w:lvlJc w:val="left"/>
      <w:pPr>
        <w:ind w:left="577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2B54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3" w:hanging="4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7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1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5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9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3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7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11" w:hanging="4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076" w:hanging="29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80" w:hanging="2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81" w:hanging="2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82" w:hanging="2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83" w:hanging="2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4" w:hanging="2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85" w:hanging="2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85" w:hanging="2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86" w:hanging="29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616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1">
      <w:start w:val="0"/>
      <w:numFmt w:val="bullet"/>
      <w:lvlText w:val=""/>
      <w:lvlJc w:val="left"/>
      <w:pPr>
        <w:ind w:left="2199" w:hanging="41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1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76" w:hanging="4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52" w:hanging="4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9" w:hanging="4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05" w:hanging="4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2" w:hanging="4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58" w:hanging="4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35" w:hanging="413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7">
    <w:abstractNumId w:val="6"/>
  </w:num>
  <w:num w:numId="1">
    <w:abstractNumId w:val="0"/>
  </w:num>
  <w:num w:numId="6">
    <w:abstractNumId w:val="5"/>
  </w:num>
  <w:num w:numId="8">
    <w:abstractNumId w:val="7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0"/>
      <w:ind w:left="9715" w:right="373" w:hanging="6095"/>
    </w:pPr>
    <w:rPr>
      <w:rFonts w:ascii="Arial" w:hAnsi="Arial" w:eastAsia="Arial" w:cs="Arial"/>
      <w:sz w:val="105"/>
      <w:szCs w:val="10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CSU Fullerton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Douville, Sarah</dc:creator>
  <dc:title>PowerPoint Presentation</dc:title>
  <dcterms:created xsi:type="dcterms:W3CDTF">2026-09-28T21:46:25Z</dcterms:created>
  <dcterms:modified xsi:type="dcterms:W3CDTF">2026-09-28T21:46:25Z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Acrobat PDFMaker 15 for PowerPoint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15.0</vt:lpwstr>
  </property>
</Properties>
</file>